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0887AA" w14:textId="77777777" w:rsidR="00EF29CA" w:rsidRPr="00A57305" w:rsidRDefault="00EF29CA" w:rsidP="00255891">
      <w:pPr>
        <w:pStyle w:val="PlainText"/>
        <w:jc w:val="center"/>
        <w:rPr>
          <w:rFonts w:ascii="Times New Roman" w:hAnsi="Times New Roman" w:cs="Times New Roman"/>
          <w:b/>
          <w:sz w:val="24"/>
          <w:szCs w:val="24"/>
        </w:rPr>
      </w:pPr>
      <w:r w:rsidRPr="00A57305">
        <w:rPr>
          <w:rFonts w:ascii="Times New Roman" w:hAnsi="Times New Roman" w:cs="Times New Roman"/>
          <w:b/>
          <w:sz w:val="24"/>
          <w:szCs w:val="24"/>
        </w:rPr>
        <w:t>Before the</w:t>
      </w:r>
    </w:p>
    <w:p w14:paraId="65496F4E" w14:textId="77777777" w:rsidR="00EF29CA" w:rsidRPr="00A57305" w:rsidRDefault="00EF29CA" w:rsidP="00255891">
      <w:pPr>
        <w:pStyle w:val="PlainText"/>
        <w:jc w:val="center"/>
        <w:rPr>
          <w:rFonts w:ascii="Times New Roman" w:hAnsi="Times New Roman" w:cs="Times New Roman"/>
          <w:b/>
          <w:sz w:val="24"/>
          <w:szCs w:val="24"/>
        </w:rPr>
      </w:pPr>
      <w:r w:rsidRPr="00A57305">
        <w:rPr>
          <w:rFonts w:ascii="Times New Roman" w:hAnsi="Times New Roman" w:cs="Times New Roman"/>
          <w:b/>
          <w:sz w:val="24"/>
          <w:szCs w:val="24"/>
        </w:rPr>
        <w:t>Federal Communications Commission</w:t>
      </w:r>
    </w:p>
    <w:p w14:paraId="4D3FE86A" w14:textId="77777777" w:rsidR="00EF29CA" w:rsidRPr="00A57305" w:rsidRDefault="00EF29CA" w:rsidP="00255891">
      <w:pPr>
        <w:pStyle w:val="PlainText"/>
        <w:jc w:val="center"/>
        <w:rPr>
          <w:rFonts w:ascii="Times New Roman" w:hAnsi="Times New Roman" w:cs="Times New Roman"/>
          <w:b/>
          <w:sz w:val="24"/>
          <w:szCs w:val="24"/>
        </w:rPr>
      </w:pPr>
      <w:r w:rsidRPr="00A57305">
        <w:rPr>
          <w:rFonts w:ascii="Times New Roman" w:hAnsi="Times New Roman" w:cs="Times New Roman"/>
          <w:b/>
          <w:sz w:val="24"/>
          <w:szCs w:val="24"/>
        </w:rPr>
        <w:t>Washington, D.C. 20554</w:t>
      </w:r>
    </w:p>
    <w:p w14:paraId="27C4059F" w14:textId="77777777" w:rsidR="00EF29CA" w:rsidRPr="00A57305" w:rsidRDefault="00EF29CA" w:rsidP="00FD449A">
      <w:pPr>
        <w:pStyle w:val="PlainText"/>
        <w:jc w:val="both"/>
        <w:rPr>
          <w:rFonts w:ascii="Times New Roman" w:hAnsi="Times New Roman" w:cs="Times New Roman"/>
          <w:b/>
          <w:sz w:val="24"/>
          <w:szCs w:val="24"/>
        </w:rPr>
      </w:pPr>
    </w:p>
    <w:p w14:paraId="261879CF" w14:textId="77777777" w:rsidR="00EF29CA" w:rsidRPr="00A57305" w:rsidRDefault="00EF29CA" w:rsidP="00FD449A">
      <w:pPr>
        <w:pStyle w:val="PlainText"/>
        <w:jc w:val="both"/>
        <w:rPr>
          <w:rFonts w:ascii="Times New Roman" w:hAnsi="Times New Roman" w:cs="Times New Roman"/>
          <w:b/>
          <w:sz w:val="24"/>
          <w:szCs w:val="24"/>
        </w:rPr>
      </w:pPr>
      <w:r w:rsidRPr="00A57305">
        <w:rPr>
          <w:rFonts w:ascii="Times New Roman" w:hAnsi="Times New Roman" w:cs="Times New Roman"/>
          <w:b/>
          <w:sz w:val="24"/>
          <w:szCs w:val="24"/>
        </w:rPr>
        <w:t>In the Matter of</w:t>
      </w:r>
      <w:r w:rsidRPr="00A57305">
        <w:rPr>
          <w:rFonts w:ascii="Times New Roman" w:hAnsi="Times New Roman" w:cs="Times New Roman"/>
          <w:b/>
          <w:sz w:val="24"/>
          <w:szCs w:val="24"/>
        </w:rPr>
        <w:tab/>
      </w:r>
      <w:r w:rsidRPr="00A57305">
        <w:rPr>
          <w:rFonts w:ascii="Times New Roman" w:hAnsi="Times New Roman" w:cs="Times New Roman"/>
          <w:b/>
          <w:sz w:val="24"/>
          <w:szCs w:val="24"/>
        </w:rPr>
        <w:tab/>
      </w:r>
      <w:r w:rsidRPr="00A57305">
        <w:rPr>
          <w:rFonts w:ascii="Times New Roman" w:hAnsi="Times New Roman" w:cs="Times New Roman"/>
          <w:b/>
          <w:sz w:val="24"/>
          <w:szCs w:val="24"/>
        </w:rPr>
        <w:tab/>
      </w:r>
      <w:r w:rsidRPr="00A57305">
        <w:rPr>
          <w:rFonts w:ascii="Times New Roman" w:hAnsi="Times New Roman" w:cs="Times New Roman"/>
          <w:b/>
          <w:sz w:val="24"/>
          <w:szCs w:val="24"/>
        </w:rPr>
        <w:tab/>
      </w:r>
      <w:r w:rsidRPr="00A57305">
        <w:rPr>
          <w:rFonts w:ascii="Times New Roman" w:hAnsi="Times New Roman" w:cs="Times New Roman"/>
          <w:b/>
          <w:sz w:val="24"/>
          <w:szCs w:val="24"/>
        </w:rPr>
        <w:tab/>
        <w:t>)</w:t>
      </w:r>
    </w:p>
    <w:p w14:paraId="1405B3E6" w14:textId="77777777" w:rsidR="00EF29CA" w:rsidRPr="00A57305" w:rsidRDefault="00EF29CA" w:rsidP="00FD449A">
      <w:pPr>
        <w:pStyle w:val="PlainText"/>
        <w:jc w:val="both"/>
        <w:rPr>
          <w:rFonts w:ascii="Times New Roman" w:hAnsi="Times New Roman" w:cs="Times New Roman"/>
          <w:b/>
          <w:sz w:val="24"/>
          <w:szCs w:val="24"/>
        </w:rPr>
      </w:pPr>
      <w:r w:rsidRPr="00A57305">
        <w:rPr>
          <w:rFonts w:ascii="Times New Roman" w:hAnsi="Times New Roman" w:cs="Times New Roman"/>
          <w:b/>
          <w:sz w:val="24"/>
          <w:szCs w:val="24"/>
        </w:rPr>
        <w:tab/>
      </w:r>
      <w:r w:rsidRPr="00A57305">
        <w:rPr>
          <w:rFonts w:ascii="Times New Roman" w:hAnsi="Times New Roman" w:cs="Times New Roman"/>
          <w:b/>
          <w:sz w:val="24"/>
          <w:szCs w:val="24"/>
        </w:rPr>
        <w:tab/>
      </w:r>
      <w:r w:rsidRPr="00A57305">
        <w:rPr>
          <w:rFonts w:ascii="Times New Roman" w:hAnsi="Times New Roman" w:cs="Times New Roman"/>
          <w:b/>
          <w:sz w:val="24"/>
          <w:szCs w:val="24"/>
        </w:rPr>
        <w:tab/>
      </w:r>
      <w:r w:rsidRPr="00A57305">
        <w:rPr>
          <w:rFonts w:ascii="Times New Roman" w:hAnsi="Times New Roman" w:cs="Times New Roman"/>
          <w:b/>
          <w:sz w:val="24"/>
          <w:szCs w:val="24"/>
        </w:rPr>
        <w:tab/>
      </w:r>
      <w:r w:rsidRPr="00A57305">
        <w:rPr>
          <w:rFonts w:ascii="Times New Roman" w:hAnsi="Times New Roman" w:cs="Times New Roman"/>
          <w:b/>
          <w:sz w:val="24"/>
          <w:szCs w:val="24"/>
        </w:rPr>
        <w:tab/>
      </w:r>
      <w:r w:rsidRPr="00A57305">
        <w:rPr>
          <w:rFonts w:ascii="Times New Roman" w:hAnsi="Times New Roman" w:cs="Times New Roman"/>
          <w:b/>
          <w:sz w:val="24"/>
          <w:szCs w:val="24"/>
        </w:rPr>
        <w:tab/>
      </w:r>
      <w:r w:rsidRPr="00A57305">
        <w:rPr>
          <w:rFonts w:ascii="Times New Roman" w:hAnsi="Times New Roman" w:cs="Times New Roman"/>
          <w:b/>
          <w:sz w:val="24"/>
          <w:szCs w:val="24"/>
        </w:rPr>
        <w:tab/>
        <w:t>)</w:t>
      </w:r>
    </w:p>
    <w:p w14:paraId="39D32CC9" w14:textId="4DE7EE07" w:rsidR="00EF29CA" w:rsidRPr="00A57305" w:rsidRDefault="00EF29CA" w:rsidP="00FD449A">
      <w:pPr>
        <w:pStyle w:val="PlainText"/>
        <w:jc w:val="both"/>
        <w:rPr>
          <w:rFonts w:ascii="Times New Roman" w:hAnsi="Times New Roman" w:cs="Times New Roman"/>
          <w:b/>
          <w:sz w:val="24"/>
          <w:szCs w:val="24"/>
        </w:rPr>
      </w:pPr>
      <w:r w:rsidRPr="00A57305">
        <w:rPr>
          <w:rFonts w:ascii="Times New Roman" w:hAnsi="Times New Roman" w:cs="Times New Roman"/>
          <w:b/>
          <w:sz w:val="24"/>
          <w:szCs w:val="24"/>
        </w:rPr>
        <w:t>Rules and Regulations Implementing the</w:t>
      </w:r>
      <w:r w:rsidRPr="00A57305">
        <w:rPr>
          <w:rFonts w:ascii="Times New Roman" w:hAnsi="Times New Roman" w:cs="Times New Roman"/>
          <w:b/>
          <w:sz w:val="24"/>
          <w:szCs w:val="24"/>
        </w:rPr>
        <w:tab/>
      </w:r>
      <w:r w:rsidRPr="00A57305">
        <w:rPr>
          <w:rFonts w:ascii="Times New Roman" w:hAnsi="Times New Roman" w:cs="Times New Roman"/>
          <w:b/>
          <w:sz w:val="24"/>
          <w:szCs w:val="24"/>
        </w:rPr>
        <w:tab/>
        <w:t xml:space="preserve">) </w:t>
      </w:r>
      <w:r w:rsidRPr="00A57305">
        <w:rPr>
          <w:rFonts w:ascii="Times New Roman" w:hAnsi="Times New Roman" w:cs="Times New Roman"/>
          <w:b/>
          <w:sz w:val="24"/>
          <w:szCs w:val="24"/>
        </w:rPr>
        <w:tab/>
      </w:r>
      <w:r w:rsidRPr="00A57305">
        <w:rPr>
          <w:rFonts w:ascii="Times New Roman" w:hAnsi="Times New Roman" w:cs="Times New Roman"/>
          <w:b/>
          <w:sz w:val="24"/>
          <w:szCs w:val="24"/>
        </w:rPr>
        <w:tab/>
      </w:r>
      <w:r w:rsidR="00A57305">
        <w:rPr>
          <w:rFonts w:ascii="Times New Roman" w:hAnsi="Times New Roman" w:cs="Times New Roman"/>
          <w:b/>
          <w:sz w:val="24"/>
          <w:szCs w:val="24"/>
        </w:rPr>
        <w:t xml:space="preserve">          </w:t>
      </w:r>
      <w:r w:rsidRPr="00A57305">
        <w:rPr>
          <w:rFonts w:ascii="Times New Roman" w:hAnsi="Times New Roman" w:cs="Times New Roman"/>
          <w:b/>
          <w:sz w:val="24"/>
          <w:szCs w:val="24"/>
        </w:rPr>
        <w:t>CG Docket No. 02-278</w:t>
      </w:r>
    </w:p>
    <w:p w14:paraId="7569F7A1" w14:textId="3E28E905" w:rsidR="00EF29CA" w:rsidRPr="00A57305" w:rsidRDefault="00EF29CA" w:rsidP="00FD449A">
      <w:pPr>
        <w:pStyle w:val="PlainText"/>
        <w:jc w:val="both"/>
        <w:rPr>
          <w:rFonts w:ascii="Times New Roman" w:hAnsi="Times New Roman" w:cs="Times New Roman"/>
          <w:b/>
          <w:sz w:val="24"/>
          <w:szCs w:val="24"/>
        </w:rPr>
      </w:pPr>
      <w:r w:rsidRPr="00A57305">
        <w:rPr>
          <w:rFonts w:ascii="Times New Roman" w:hAnsi="Times New Roman" w:cs="Times New Roman"/>
          <w:b/>
          <w:sz w:val="24"/>
          <w:szCs w:val="24"/>
        </w:rPr>
        <w:t xml:space="preserve">Telephone Consumer Protection Act of </w:t>
      </w:r>
      <w:proofErr w:type="gramStart"/>
      <w:r w:rsidRPr="00A57305">
        <w:rPr>
          <w:rFonts w:ascii="Times New Roman" w:hAnsi="Times New Roman" w:cs="Times New Roman"/>
          <w:b/>
          <w:sz w:val="24"/>
          <w:szCs w:val="24"/>
        </w:rPr>
        <w:t>1991</w:t>
      </w:r>
      <w:r w:rsidR="00107D7D" w:rsidRPr="00A57305">
        <w:rPr>
          <w:rFonts w:ascii="Times New Roman" w:hAnsi="Times New Roman" w:cs="Times New Roman"/>
          <w:b/>
          <w:sz w:val="24"/>
          <w:szCs w:val="24"/>
        </w:rPr>
        <w:tab/>
      </w:r>
      <w:r w:rsidRPr="00A57305">
        <w:rPr>
          <w:rFonts w:ascii="Times New Roman" w:hAnsi="Times New Roman" w:cs="Times New Roman"/>
          <w:b/>
          <w:sz w:val="24"/>
          <w:szCs w:val="24"/>
        </w:rPr>
        <w:t>)</w:t>
      </w:r>
      <w:r w:rsidR="00107D7D" w:rsidRPr="00A57305">
        <w:rPr>
          <w:rFonts w:ascii="Times New Roman" w:hAnsi="Times New Roman" w:cs="Times New Roman"/>
          <w:b/>
          <w:sz w:val="24"/>
          <w:szCs w:val="24"/>
        </w:rPr>
        <w:tab/>
      </w:r>
      <w:r w:rsidR="00107D7D" w:rsidRPr="00A57305">
        <w:rPr>
          <w:rFonts w:ascii="Times New Roman" w:hAnsi="Times New Roman" w:cs="Times New Roman"/>
          <w:b/>
          <w:sz w:val="24"/>
          <w:szCs w:val="24"/>
        </w:rPr>
        <w:tab/>
      </w:r>
      <w:r w:rsidR="00A57305">
        <w:rPr>
          <w:rFonts w:ascii="Times New Roman" w:hAnsi="Times New Roman" w:cs="Times New Roman"/>
          <w:b/>
          <w:sz w:val="24"/>
          <w:szCs w:val="24"/>
        </w:rPr>
        <w:t xml:space="preserve">         </w:t>
      </w:r>
      <w:proofErr w:type="gramEnd"/>
      <w:r w:rsidR="00A57305">
        <w:rPr>
          <w:rFonts w:ascii="Times New Roman" w:hAnsi="Times New Roman" w:cs="Times New Roman"/>
          <w:b/>
          <w:sz w:val="24"/>
          <w:szCs w:val="24"/>
        </w:rPr>
        <w:t xml:space="preserve"> </w:t>
      </w:r>
      <w:r w:rsidR="00107D7D" w:rsidRPr="00A57305">
        <w:rPr>
          <w:rFonts w:ascii="Times New Roman" w:hAnsi="Times New Roman" w:cs="Times New Roman"/>
          <w:b/>
          <w:sz w:val="24"/>
          <w:szCs w:val="24"/>
        </w:rPr>
        <w:t>CG Docket No. 21-402</w:t>
      </w:r>
    </w:p>
    <w:p w14:paraId="7D4DC8CE" w14:textId="356E4740" w:rsidR="00EF29CA" w:rsidRPr="00A57305" w:rsidRDefault="00EF29CA" w:rsidP="00FD449A">
      <w:pPr>
        <w:pStyle w:val="PlainText"/>
        <w:jc w:val="both"/>
        <w:rPr>
          <w:rFonts w:ascii="Times New Roman" w:hAnsi="Times New Roman" w:cs="Times New Roman"/>
          <w:b/>
          <w:sz w:val="24"/>
          <w:szCs w:val="24"/>
        </w:rPr>
      </w:pPr>
      <w:r w:rsidRPr="00A57305">
        <w:rPr>
          <w:rFonts w:ascii="Times New Roman" w:hAnsi="Times New Roman" w:cs="Times New Roman"/>
          <w:b/>
          <w:sz w:val="24"/>
          <w:szCs w:val="24"/>
        </w:rPr>
        <w:tab/>
      </w:r>
      <w:r w:rsidRPr="00A57305">
        <w:rPr>
          <w:rFonts w:ascii="Times New Roman" w:hAnsi="Times New Roman" w:cs="Times New Roman"/>
          <w:b/>
          <w:sz w:val="24"/>
          <w:szCs w:val="24"/>
        </w:rPr>
        <w:tab/>
      </w:r>
      <w:r w:rsidRPr="00A57305">
        <w:rPr>
          <w:rFonts w:ascii="Times New Roman" w:hAnsi="Times New Roman" w:cs="Times New Roman"/>
          <w:b/>
          <w:sz w:val="24"/>
          <w:szCs w:val="24"/>
        </w:rPr>
        <w:tab/>
      </w:r>
      <w:r w:rsidRPr="00A57305">
        <w:rPr>
          <w:rFonts w:ascii="Times New Roman" w:hAnsi="Times New Roman" w:cs="Times New Roman"/>
          <w:b/>
          <w:sz w:val="24"/>
          <w:szCs w:val="24"/>
        </w:rPr>
        <w:tab/>
      </w:r>
      <w:r w:rsidRPr="00A57305">
        <w:rPr>
          <w:rFonts w:ascii="Times New Roman" w:hAnsi="Times New Roman" w:cs="Times New Roman"/>
          <w:b/>
          <w:sz w:val="24"/>
          <w:szCs w:val="24"/>
        </w:rPr>
        <w:tab/>
      </w:r>
      <w:r w:rsidRPr="00A57305">
        <w:rPr>
          <w:rFonts w:ascii="Times New Roman" w:hAnsi="Times New Roman" w:cs="Times New Roman"/>
          <w:b/>
          <w:sz w:val="24"/>
          <w:szCs w:val="24"/>
        </w:rPr>
        <w:tab/>
      </w:r>
      <w:r w:rsidRPr="00A57305">
        <w:rPr>
          <w:rFonts w:ascii="Times New Roman" w:hAnsi="Times New Roman" w:cs="Times New Roman"/>
          <w:b/>
          <w:sz w:val="24"/>
          <w:szCs w:val="24"/>
        </w:rPr>
        <w:tab/>
        <w:t>)</w:t>
      </w:r>
    </w:p>
    <w:p w14:paraId="03E95B59" w14:textId="606F42BC" w:rsidR="00EF29CA" w:rsidRPr="00A57305" w:rsidRDefault="00EF29CA" w:rsidP="00FD449A">
      <w:pPr>
        <w:pStyle w:val="PlainText"/>
        <w:jc w:val="both"/>
        <w:rPr>
          <w:rFonts w:ascii="Times New Roman" w:hAnsi="Times New Roman" w:cs="Times New Roman"/>
          <w:b/>
          <w:bCs/>
          <w:sz w:val="24"/>
          <w:szCs w:val="24"/>
        </w:rPr>
      </w:pPr>
      <w:r w:rsidRPr="00A57305">
        <w:rPr>
          <w:rFonts w:ascii="Times New Roman" w:hAnsi="Times New Roman" w:cs="Times New Roman"/>
          <w:b/>
          <w:sz w:val="24"/>
          <w:szCs w:val="24"/>
        </w:rPr>
        <w:tab/>
      </w:r>
      <w:r w:rsidRPr="00A57305">
        <w:rPr>
          <w:rFonts w:ascii="Times New Roman" w:hAnsi="Times New Roman" w:cs="Times New Roman"/>
          <w:b/>
          <w:sz w:val="24"/>
          <w:szCs w:val="24"/>
        </w:rPr>
        <w:tab/>
      </w:r>
    </w:p>
    <w:p w14:paraId="2A6224B9" w14:textId="1C513C13" w:rsidR="00EF29CA" w:rsidRPr="00A57305" w:rsidRDefault="00EF29CA" w:rsidP="00255891">
      <w:pPr>
        <w:autoSpaceDE w:val="0"/>
        <w:autoSpaceDN w:val="0"/>
        <w:adjustRightInd w:val="0"/>
        <w:spacing w:after="0" w:line="240" w:lineRule="auto"/>
        <w:jc w:val="center"/>
        <w:rPr>
          <w:rFonts w:ascii="Times New Roman" w:hAnsi="Times New Roman" w:cs="Times New Roman"/>
          <w:b/>
          <w:bCs/>
          <w:smallCaps/>
          <w:sz w:val="32"/>
          <w:szCs w:val="32"/>
        </w:rPr>
      </w:pPr>
      <w:r w:rsidRPr="00A57305">
        <w:rPr>
          <w:rFonts w:ascii="Times New Roman" w:hAnsi="Times New Roman" w:cs="Times New Roman"/>
          <w:b/>
          <w:bCs/>
          <w:smallCaps/>
          <w:sz w:val="32"/>
          <w:szCs w:val="32"/>
        </w:rPr>
        <w:t>Initial Comments of the</w:t>
      </w:r>
    </w:p>
    <w:p w14:paraId="12279A50" w14:textId="77777777" w:rsidR="00EF29CA" w:rsidRPr="00A57305" w:rsidRDefault="00EF29CA" w:rsidP="00255891">
      <w:pPr>
        <w:spacing w:after="0" w:line="240" w:lineRule="auto"/>
        <w:jc w:val="center"/>
        <w:rPr>
          <w:rFonts w:ascii="Times New Roman" w:hAnsi="Times New Roman" w:cs="Times New Roman"/>
          <w:b/>
          <w:bCs/>
          <w:smallCaps/>
          <w:sz w:val="32"/>
          <w:szCs w:val="32"/>
        </w:rPr>
      </w:pPr>
      <w:r w:rsidRPr="00A57305">
        <w:rPr>
          <w:rFonts w:ascii="Times New Roman" w:hAnsi="Times New Roman" w:cs="Times New Roman"/>
          <w:b/>
          <w:bCs/>
          <w:smallCaps/>
          <w:sz w:val="32"/>
          <w:szCs w:val="32"/>
        </w:rPr>
        <w:t>National Association of Regulatory Utility Commissioners</w:t>
      </w:r>
    </w:p>
    <w:p w14:paraId="14579F05" w14:textId="77777777" w:rsidR="00EF29CA" w:rsidRPr="00A57305" w:rsidRDefault="00EF29CA" w:rsidP="00FD449A">
      <w:pPr>
        <w:spacing w:after="0" w:line="240" w:lineRule="auto"/>
        <w:jc w:val="both"/>
        <w:rPr>
          <w:rFonts w:ascii="Times New Roman" w:hAnsi="Times New Roman" w:cs="Times New Roman"/>
          <w:b/>
          <w:bCs/>
          <w:smallCaps/>
          <w:sz w:val="24"/>
          <w:szCs w:val="24"/>
        </w:rPr>
      </w:pPr>
    </w:p>
    <w:p w14:paraId="007C3FE3" w14:textId="47894932" w:rsidR="00EF29CA" w:rsidRPr="00A57305" w:rsidRDefault="00EF29CA" w:rsidP="008C75E4">
      <w:pPr>
        <w:spacing w:after="0" w:line="360" w:lineRule="auto"/>
        <w:ind w:firstLine="720"/>
        <w:jc w:val="both"/>
        <w:rPr>
          <w:rFonts w:ascii="Times New Roman" w:hAnsi="Times New Roman" w:cs="Times New Roman"/>
          <w:bCs/>
          <w:sz w:val="24"/>
          <w:szCs w:val="24"/>
        </w:rPr>
      </w:pPr>
      <w:r w:rsidRPr="00A57305">
        <w:rPr>
          <w:rFonts w:ascii="Times New Roman" w:hAnsi="Times New Roman" w:cs="Times New Roman"/>
          <w:bCs/>
          <w:sz w:val="24"/>
          <w:szCs w:val="24"/>
        </w:rPr>
        <w:t xml:space="preserve">The National Association of Regulatory Utility Commissioners (“NARUC”), respectfully submits these comments to respond to the Federal Communications Commission’s (“FCC” or “Commission”) </w:t>
      </w:r>
      <w:r w:rsidR="004A4C5E" w:rsidRPr="00A57305">
        <w:rPr>
          <w:rFonts w:ascii="Times New Roman" w:hAnsi="Times New Roman" w:cs="Times New Roman"/>
          <w:bCs/>
          <w:sz w:val="24"/>
          <w:szCs w:val="24"/>
        </w:rPr>
        <w:t>March 11, 2025</w:t>
      </w:r>
      <w:r w:rsidR="00107D7D" w:rsidRPr="00A57305">
        <w:rPr>
          <w:rFonts w:ascii="Times New Roman" w:hAnsi="Times New Roman" w:cs="Times New Roman"/>
          <w:bCs/>
          <w:sz w:val="24"/>
          <w:szCs w:val="24"/>
        </w:rPr>
        <w:t xml:space="preserve"> </w:t>
      </w:r>
      <w:hyperlink r:id="rId7" w:tgtFrame="_blank" w:history="1">
        <w:r w:rsidR="00107D7D" w:rsidRPr="00A57305">
          <w:rPr>
            <w:rFonts w:ascii="Times New Roman" w:hAnsi="Times New Roman" w:cs="Times New Roman"/>
            <w:b/>
            <w:bCs/>
            <w:color w:val="0070C0"/>
            <w:sz w:val="24"/>
            <w:szCs w:val="24"/>
            <w:u w:val="single"/>
          </w:rPr>
          <w:t>Notice</w:t>
        </w:r>
      </w:hyperlink>
      <w:r w:rsidRPr="00A57305">
        <w:rPr>
          <w:rStyle w:val="FootnoteReference"/>
          <w:rFonts w:ascii="Times New Roman" w:hAnsi="Times New Roman" w:cs="Times New Roman"/>
          <w:sz w:val="24"/>
          <w:szCs w:val="24"/>
        </w:rPr>
        <w:footnoteReference w:id="1"/>
      </w:r>
      <w:r w:rsidRPr="00A57305">
        <w:rPr>
          <w:rFonts w:ascii="Times New Roman" w:hAnsi="Times New Roman" w:cs="Times New Roman"/>
          <w:bCs/>
          <w:sz w:val="24"/>
          <w:szCs w:val="24"/>
        </w:rPr>
        <w:t xml:space="preserve"> seeking comment on </w:t>
      </w:r>
      <w:r w:rsidR="00107D7D" w:rsidRPr="00A57305">
        <w:rPr>
          <w:rFonts w:ascii="Times New Roman" w:hAnsi="Times New Roman" w:cs="Times New Roman"/>
          <w:bCs/>
          <w:sz w:val="24"/>
          <w:szCs w:val="24"/>
        </w:rPr>
        <w:t xml:space="preserve">Edison Electric Institute’s March 7, 2025 </w:t>
      </w:r>
      <w:r w:rsidR="00107D7D" w:rsidRPr="00A57305">
        <w:rPr>
          <w:rFonts w:ascii="Times New Roman" w:hAnsi="Times New Roman" w:cs="Times New Roman"/>
          <w:bCs/>
          <w:i/>
          <w:iCs/>
          <w:sz w:val="24"/>
          <w:szCs w:val="24"/>
        </w:rPr>
        <w:t xml:space="preserve">Petition for Declaratory Ruling </w:t>
      </w:r>
      <w:r w:rsidR="002E2ABF" w:rsidRPr="00A57305">
        <w:rPr>
          <w:rFonts w:ascii="Times New Roman" w:hAnsi="Times New Roman" w:cs="Times New Roman"/>
          <w:bCs/>
          <w:sz w:val="24"/>
          <w:szCs w:val="24"/>
        </w:rPr>
        <w:t>(“</w:t>
      </w:r>
      <w:r w:rsidR="002E2ABF" w:rsidRPr="00A57305">
        <w:rPr>
          <w:rFonts w:ascii="Times New Roman" w:hAnsi="Times New Roman" w:cs="Times New Roman"/>
          <w:bCs/>
          <w:i/>
          <w:iCs/>
          <w:sz w:val="24"/>
          <w:szCs w:val="24"/>
        </w:rPr>
        <w:t>Petition</w:t>
      </w:r>
      <w:r w:rsidR="002E2ABF" w:rsidRPr="00A57305">
        <w:rPr>
          <w:rFonts w:ascii="Times New Roman" w:hAnsi="Times New Roman" w:cs="Times New Roman"/>
          <w:bCs/>
          <w:sz w:val="24"/>
          <w:szCs w:val="24"/>
        </w:rPr>
        <w:t>”) clarifying that utilities have “prior express consent” under the Telephone Consumer Protection Act (“TCPA”) to send non-telemarketing, demand response calls and texts</w:t>
      </w:r>
      <w:r w:rsidR="00107D7D" w:rsidRPr="00A57305">
        <w:rPr>
          <w:rFonts w:ascii="Times New Roman" w:hAnsi="Times New Roman" w:cs="Times New Roman"/>
          <w:bCs/>
          <w:sz w:val="24"/>
          <w:szCs w:val="24"/>
        </w:rPr>
        <w:t xml:space="preserve"> based on the utility customer’s provision of their telephone number unless or until the customer revokes their consent.</w:t>
      </w:r>
      <w:r w:rsidR="00107D7D" w:rsidRPr="00A57305">
        <w:rPr>
          <w:rStyle w:val="FootnoteReference"/>
          <w:rFonts w:ascii="Times New Roman" w:hAnsi="Times New Roman" w:cs="Times New Roman"/>
          <w:bCs/>
          <w:sz w:val="24"/>
          <w:szCs w:val="24"/>
        </w:rPr>
        <w:footnoteReference w:id="2"/>
      </w:r>
      <w:r w:rsidR="00107D7D" w:rsidRPr="00A57305">
        <w:rPr>
          <w:rFonts w:ascii="Times New Roman" w:hAnsi="Times New Roman" w:cs="Times New Roman"/>
          <w:bCs/>
          <w:sz w:val="24"/>
          <w:szCs w:val="24"/>
        </w:rPr>
        <w:t xml:space="preserve"> </w:t>
      </w:r>
      <w:r w:rsidRPr="00A57305">
        <w:rPr>
          <w:rFonts w:ascii="Times New Roman" w:hAnsi="Times New Roman" w:cs="Times New Roman"/>
          <w:bCs/>
          <w:sz w:val="24"/>
          <w:szCs w:val="24"/>
        </w:rPr>
        <w:t xml:space="preserve"> </w:t>
      </w:r>
      <w:r w:rsidR="00243A58" w:rsidRPr="00A57305">
        <w:rPr>
          <w:rFonts w:ascii="Times New Roman" w:hAnsi="Times New Roman" w:cs="Times New Roman"/>
          <w:iCs/>
          <w:snapToGrid w:val="0"/>
          <w:sz w:val="24"/>
          <w:szCs w:val="24"/>
        </w:rPr>
        <w:t>“Demand response” refers to “short-term, intentional modification of electricity usage by end-user customers during system imbalances or in response to market prices.”</w:t>
      </w:r>
      <w:r w:rsidR="00D936A5" w:rsidRPr="00A57305">
        <w:rPr>
          <w:rStyle w:val="FootnoteReference"/>
          <w:rFonts w:ascii="Times New Roman" w:hAnsi="Times New Roman" w:cs="Times New Roman"/>
          <w:iCs/>
          <w:snapToGrid w:val="0"/>
          <w:sz w:val="24"/>
          <w:szCs w:val="24"/>
        </w:rPr>
        <w:footnoteReference w:id="3"/>
      </w:r>
      <w:r w:rsidR="00243A58" w:rsidRPr="00A57305">
        <w:rPr>
          <w:rFonts w:ascii="Times New Roman" w:hAnsi="Times New Roman" w:cs="Times New Roman"/>
          <w:iCs/>
          <w:snapToGrid w:val="0"/>
          <w:sz w:val="24"/>
          <w:szCs w:val="24"/>
        </w:rPr>
        <w:t xml:space="preserve"> </w:t>
      </w:r>
      <w:r w:rsidR="00370239" w:rsidRPr="00A57305">
        <w:rPr>
          <w:rFonts w:ascii="Times New Roman" w:hAnsi="Times New Roman" w:cs="Times New Roman"/>
          <w:iCs/>
          <w:snapToGrid w:val="0"/>
          <w:sz w:val="24"/>
          <w:szCs w:val="24"/>
        </w:rPr>
        <w:t xml:space="preserve">Basically, </w:t>
      </w:r>
      <w:r w:rsidR="00E82C57" w:rsidRPr="00A57305">
        <w:rPr>
          <w:rFonts w:ascii="Times New Roman" w:hAnsi="Times New Roman" w:cs="Times New Roman"/>
          <w:iCs/>
          <w:snapToGrid w:val="0"/>
          <w:sz w:val="24"/>
          <w:szCs w:val="24"/>
        </w:rPr>
        <w:t>d</w:t>
      </w:r>
      <w:r w:rsidR="00DF043A" w:rsidRPr="00A57305">
        <w:rPr>
          <w:rFonts w:ascii="Times New Roman" w:hAnsi="Times New Roman" w:cs="Times New Roman"/>
          <w:iCs/>
          <w:snapToGrid w:val="0"/>
          <w:sz w:val="24"/>
          <w:szCs w:val="24"/>
        </w:rPr>
        <w:t xml:space="preserve">emand response programs </w:t>
      </w:r>
      <w:r w:rsidR="008341FC" w:rsidRPr="00A57305">
        <w:rPr>
          <w:rFonts w:ascii="Times New Roman" w:hAnsi="Times New Roman" w:cs="Times New Roman"/>
          <w:iCs/>
          <w:snapToGrid w:val="0"/>
          <w:sz w:val="24"/>
          <w:szCs w:val="24"/>
        </w:rPr>
        <w:t>en</w:t>
      </w:r>
      <w:r w:rsidR="00761062" w:rsidRPr="00A57305">
        <w:rPr>
          <w:rFonts w:ascii="Times New Roman" w:hAnsi="Times New Roman" w:cs="Times New Roman"/>
          <w:iCs/>
          <w:snapToGrid w:val="0"/>
          <w:sz w:val="24"/>
          <w:szCs w:val="24"/>
        </w:rPr>
        <w:t xml:space="preserve">courage </w:t>
      </w:r>
      <w:r w:rsidR="00DF043A" w:rsidRPr="00A57305">
        <w:rPr>
          <w:rFonts w:ascii="Times New Roman" w:hAnsi="Times New Roman" w:cs="Times New Roman"/>
          <w:iCs/>
          <w:snapToGrid w:val="0"/>
          <w:sz w:val="24"/>
          <w:szCs w:val="24"/>
        </w:rPr>
        <w:t xml:space="preserve">consumers to adjust their energy use in response to </w:t>
      </w:r>
      <w:r w:rsidR="00E82C57" w:rsidRPr="00A57305">
        <w:rPr>
          <w:rFonts w:ascii="Times New Roman" w:hAnsi="Times New Roman" w:cs="Times New Roman"/>
          <w:iCs/>
          <w:snapToGrid w:val="0"/>
          <w:sz w:val="24"/>
          <w:szCs w:val="24"/>
        </w:rPr>
        <w:t>grid signals.</w:t>
      </w:r>
    </w:p>
    <w:p w14:paraId="23055781" w14:textId="77777777" w:rsidR="00D91AA8" w:rsidRPr="00A57305" w:rsidRDefault="00D91AA8" w:rsidP="008C75E4">
      <w:pPr>
        <w:spacing w:after="0" w:line="360" w:lineRule="auto"/>
        <w:ind w:firstLine="720"/>
        <w:jc w:val="both"/>
        <w:rPr>
          <w:rFonts w:ascii="Times New Roman" w:hAnsi="Times New Roman" w:cs="Times New Roman"/>
          <w:bCs/>
          <w:sz w:val="24"/>
          <w:szCs w:val="24"/>
        </w:rPr>
      </w:pPr>
    </w:p>
    <w:p w14:paraId="5E96F976" w14:textId="4B8A2A8A" w:rsidR="00D91AA8" w:rsidRPr="00A57305" w:rsidRDefault="00D91AA8" w:rsidP="008C75E4">
      <w:pPr>
        <w:spacing w:after="0" w:line="360" w:lineRule="auto"/>
        <w:ind w:firstLine="720"/>
        <w:jc w:val="both"/>
        <w:rPr>
          <w:rFonts w:ascii="Times New Roman" w:eastAsia="Calibri" w:hAnsi="Times New Roman" w:cs="Times New Roman"/>
          <w:bCs/>
          <w:color w:val="000000"/>
          <w:sz w:val="24"/>
          <w:szCs w:val="24"/>
        </w:rPr>
      </w:pPr>
      <w:r w:rsidRPr="00A57305">
        <w:rPr>
          <w:rFonts w:ascii="Times New Roman" w:eastAsia="Calibri" w:hAnsi="Times New Roman" w:cs="Times New Roman"/>
          <w:bCs/>
          <w:color w:val="000000"/>
          <w:sz w:val="24"/>
          <w:szCs w:val="24"/>
        </w:rPr>
        <w:t>On February 26, 2025</w:t>
      </w:r>
      <w:r w:rsidR="007B7946" w:rsidRPr="00A57305">
        <w:rPr>
          <w:rFonts w:ascii="Times New Roman" w:eastAsia="Calibri" w:hAnsi="Times New Roman" w:cs="Times New Roman"/>
          <w:bCs/>
          <w:color w:val="000000"/>
          <w:sz w:val="24"/>
          <w:szCs w:val="24"/>
        </w:rPr>
        <w:t>, the NARUC Board of Directors adopted a</w:t>
      </w:r>
      <w:r w:rsidR="007B7946" w:rsidRPr="00A57305">
        <w:rPr>
          <w:rFonts w:ascii="Times New Roman" w:eastAsia="Calibri" w:hAnsi="Times New Roman" w:cs="Times New Roman"/>
          <w:bCs/>
          <w:i/>
          <w:iCs/>
          <w:color w:val="000000"/>
          <w:sz w:val="24"/>
          <w:szCs w:val="24"/>
        </w:rPr>
        <w:t xml:space="preserve"> Resolution on Utility Demand Response Communications</w:t>
      </w:r>
      <w:r w:rsidRPr="00A57305">
        <w:rPr>
          <w:rFonts w:ascii="Times New Roman" w:eastAsia="Calibri" w:hAnsi="Times New Roman" w:cs="Times New Roman"/>
          <w:bCs/>
          <w:color w:val="000000"/>
          <w:sz w:val="24"/>
          <w:szCs w:val="24"/>
        </w:rPr>
        <w:t>.</w:t>
      </w:r>
      <w:r w:rsidR="008D5BAD" w:rsidRPr="00A57305">
        <w:rPr>
          <w:rStyle w:val="FootnoteReference"/>
          <w:rFonts w:ascii="Times New Roman" w:eastAsia="Calibri" w:hAnsi="Times New Roman" w:cs="Times New Roman"/>
          <w:bCs/>
          <w:color w:val="000000"/>
          <w:sz w:val="24"/>
          <w:szCs w:val="24"/>
        </w:rPr>
        <w:footnoteReference w:id="4"/>
      </w:r>
      <w:r w:rsidR="007B7946" w:rsidRPr="00A57305">
        <w:rPr>
          <w:rFonts w:ascii="Times New Roman" w:eastAsia="Calibri" w:hAnsi="Times New Roman" w:cs="Times New Roman"/>
          <w:bCs/>
          <w:color w:val="000000"/>
          <w:sz w:val="24"/>
          <w:szCs w:val="24"/>
        </w:rPr>
        <w:t xml:space="preserve"> </w:t>
      </w:r>
      <w:r w:rsidR="007B7946" w:rsidRPr="00A57305">
        <w:rPr>
          <w:rFonts w:ascii="Times New Roman" w:eastAsia="Calibri" w:hAnsi="Times New Roman" w:cs="Times New Roman"/>
          <w:b/>
          <w:i/>
          <w:iCs/>
          <w:color w:val="000000"/>
          <w:sz w:val="24"/>
          <w:szCs w:val="24"/>
        </w:rPr>
        <w:t xml:space="preserve"> </w:t>
      </w:r>
      <w:r w:rsidR="007A1478" w:rsidRPr="00A57305">
        <w:rPr>
          <w:rFonts w:ascii="Times New Roman" w:eastAsia="Calibri" w:hAnsi="Times New Roman" w:cs="Times New Roman"/>
          <w:bCs/>
          <w:color w:val="000000"/>
          <w:sz w:val="24"/>
          <w:szCs w:val="24"/>
        </w:rPr>
        <w:t>Prior to Board consideration, the</w:t>
      </w:r>
      <w:r w:rsidR="007B7946" w:rsidRPr="00A57305">
        <w:rPr>
          <w:rFonts w:ascii="Times New Roman" w:eastAsia="Calibri" w:hAnsi="Times New Roman" w:cs="Times New Roman"/>
          <w:bCs/>
          <w:color w:val="000000"/>
          <w:sz w:val="24"/>
          <w:szCs w:val="24"/>
        </w:rPr>
        <w:t xml:space="preserve"> resolution </w:t>
      </w:r>
      <w:r w:rsidR="007A1478" w:rsidRPr="00A57305">
        <w:rPr>
          <w:rFonts w:ascii="Times New Roman" w:eastAsia="Calibri" w:hAnsi="Times New Roman" w:cs="Times New Roman"/>
          <w:bCs/>
          <w:color w:val="000000"/>
          <w:sz w:val="24"/>
          <w:szCs w:val="24"/>
        </w:rPr>
        <w:t>also passed without objection through t</w:t>
      </w:r>
      <w:r w:rsidR="007B7946" w:rsidRPr="00A57305">
        <w:rPr>
          <w:rFonts w:ascii="Times New Roman" w:eastAsia="Calibri" w:hAnsi="Times New Roman" w:cs="Times New Roman"/>
          <w:bCs/>
          <w:color w:val="000000"/>
          <w:sz w:val="24"/>
          <w:szCs w:val="24"/>
        </w:rPr>
        <w:t xml:space="preserve">hree NARUC standing committees – </w:t>
      </w:r>
      <w:r w:rsidR="007B7946" w:rsidRPr="00A57305">
        <w:rPr>
          <w:rFonts w:ascii="Times New Roman" w:eastAsia="Calibri" w:hAnsi="Times New Roman" w:cs="Times New Roman"/>
          <w:bCs/>
          <w:color w:val="000000"/>
          <w:sz w:val="24"/>
          <w:szCs w:val="24"/>
        </w:rPr>
        <w:t>the Committee on Electricity, the Committee on Energy and the Environment</w:t>
      </w:r>
      <w:r w:rsidR="00224FC2" w:rsidRPr="00A57305">
        <w:rPr>
          <w:rFonts w:ascii="Times New Roman" w:eastAsia="Calibri" w:hAnsi="Times New Roman" w:cs="Times New Roman"/>
          <w:bCs/>
          <w:color w:val="000000"/>
          <w:sz w:val="24"/>
          <w:szCs w:val="24"/>
        </w:rPr>
        <w:t>,</w:t>
      </w:r>
      <w:r w:rsidR="007B7946" w:rsidRPr="00A57305">
        <w:rPr>
          <w:rFonts w:ascii="Times New Roman" w:eastAsia="Calibri" w:hAnsi="Times New Roman" w:cs="Times New Roman"/>
          <w:bCs/>
          <w:color w:val="000000"/>
          <w:sz w:val="24"/>
          <w:szCs w:val="24"/>
        </w:rPr>
        <w:t xml:space="preserve"> and the Committee on Telecommunications.  The </w:t>
      </w:r>
      <w:r w:rsidR="007B7946" w:rsidRPr="00A57305">
        <w:rPr>
          <w:rFonts w:ascii="Times New Roman" w:eastAsia="Calibri" w:hAnsi="Times New Roman" w:cs="Times New Roman"/>
          <w:bCs/>
          <w:color w:val="000000"/>
          <w:sz w:val="24"/>
          <w:szCs w:val="24"/>
        </w:rPr>
        <w:lastRenderedPageBreak/>
        <w:t xml:space="preserve">resolution specifically supports </w:t>
      </w:r>
      <w:r w:rsidR="00981BCB" w:rsidRPr="00A57305">
        <w:rPr>
          <w:rFonts w:ascii="Times New Roman" w:eastAsia="Calibri" w:hAnsi="Times New Roman" w:cs="Times New Roman"/>
          <w:bCs/>
          <w:color w:val="000000"/>
          <w:sz w:val="24"/>
          <w:szCs w:val="24"/>
        </w:rPr>
        <w:t xml:space="preserve">the </w:t>
      </w:r>
      <w:r w:rsidR="00981BCB" w:rsidRPr="00A57305">
        <w:rPr>
          <w:rFonts w:ascii="Times New Roman" w:eastAsia="Calibri" w:hAnsi="Times New Roman" w:cs="Times New Roman"/>
          <w:bCs/>
          <w:i/>
          <w:iCs/>
          <w:color w:val="000000"/>
          <w:sz w:val="24"/>
          <w:szCs w:val="24"/>
        </w:rPr>
        <w:t xml:space="preserve">Petition’s </w:t>
      </w:r>
      <w:r w:rsidR="00981BCB" w:rsidRPr="00A57305">
        <w:rPr>
          <w:rFonts w:ascii="Times New Roman" w:eastAsia="Calibri" w:hAnsi="Times New Roman" w:cs="Times New Roman"/>
          <w:bCs/>
          <w:color w:val="000000"/>
          <w:sz w:val="24"/>
          <w:szCs w:val="24"/>
        </w:rPr>
        <w:t xml:space="preserve">request for </w:t>
      </w:r>
      <w:r w:rsidR="007B7946" w:rsidRPr="00A57305">
        <w:rPr>
          <w:rFonts w:ascii="Times New Roman" w:eastAsia="Calibri" w:hAnsi="Times New Roman" w:cs="Times New Roman"/>
          <w:bCs/>
          <w:color w:val="000000"/>
          <w:sz w:val="24"/>
          <w:szCs w:val="24"/>
        </w:rPr>
        <w:t>an FCC clarification that utilities may rely on “prior express consent” to make non-telemarketing, informational “demand response” calls and texts to their subscribers, absent instructions to the contrary from the subscriber.</w:t>
      </w:r>
    </w:p>
    <w:p w14:paraId="41878E82" w14:textId="77777777" w:rsidR="007B7946" w:rsidRPr="00A57305" w:rsidRDefault="007B7946" w:rsidP="008C75E4">
      <w:pPr>
        <w:spacing w:after="0" w:line="360" w:lineRule="auto"/>
        <w:ind w:firstLine="720"/>
        <w:jc w:val="both"/>
        <w:rPr>
          <w:rFonts w:ascii="Times New Roman" w:hAnsi="Times New Roman" w:cs="Times New Roman"/>
          <w:bCs/>
          <w:sz w:val="24"/>
          <w:szCs w:val="24"/>
        </w:rPr>
      </w:pPr>
    </w:p>
    <w:p w14:paraId="2004485E" w14:textId="086CC399" w:rsidR="00EF29CA" w:rsidRPr="00A57305" w:rsidRDefault="00EF29CA" w:rsidP="008C75E4">
      <w:pPr>
        <w:spacing w:after="0" w:line="360" w:lineRule="auto"/>
        <w:ind w:firstLine="720"/>
        <w:jc w:val="both"/>
        <w:rPr>
          <w:rFonts w:ascii="Times New Roman" w:hAnsi="Times New Roman" w:cs="Times New Roman"/>
          <w:bCs/>
          <w:sz w:val="24"/>
          <w:szCs w:val="24"/>
        </w:rPr>
      </w:pPr>
      <w:r w:rsidRPr="00A57305">
        <w:rPr>
          <w:rFonts w:ascii="Times New Roman" w:hAnsi="Times New Roman" w:cs="Times New Roman"/>
          <w:bCs/>
          <w:sz w:val="24"/>
          <w:szCs w:val="24"/>
        </w:rPr>
        <w:t>In support of th</w:t>
      </w:r>
      <w:r w:rsidR="007B7946" w:rsidRPr="00A57305">
        <w:rPr>
          <w:rFonts w:ascii="Times New Roman" w:hAnsi="Times New Roman" w:cs="Times New Roman"/>
          <w:bCs/>
          <w:sz w:val="24"/>
          <w:szCs w:val="24"/>
        </w:rPr>
        <w:t>is</w:t>
      </w:r>
      <w:r w:rsidRPr="00A57305">
        <w:rPr>
          <w:rFonts w:ascii="Times New Roman" w:hAnsi="Times New Roman" w:cs="Times New Roman"/>
          <w:bCs/>
          <w:sz w:val="24"/>
          <w:szCs w:val="24"/>
        </w:rPr>
        <w:t xml:space="preserve"> position, NARUC states as follows:</w:t>
      </w:r>
    </w:p>
    <w:p w14:paraId="2A4ABAFF" w14:textId="77777777" w:rsidR="008C75E4" w:rsidRPr="00A57305" w:rsidRDefault="008C75E4" w:rsidP="008C75E4">
      <w:pPr>
        <w:spacing w:after="0" w:line="360" w:lineRule="auto"/>
        <w:jc w:val="center"/>
        <w:rPr>
          <w:rFonts w:ascii="Times New Roman" w:eastAsia="Calibri" w:hAnsi="Times New Roman" w:cs="Times New Roman"/>
          <w:b/>
          <w:bCs/>
          <w:caps/>
          <w:color w:val="000000"/>
          <w:sz w:val="24"/>
          <w:szCs w:val="24"/>
        </w:rPr>
      </w:pPr>
    </w:p>
    <w:p w14:paraId="0D822E4A" w14:textId="46118C93" w:rsidR="00EF29CA" w:rsidRPr="00A57305" w:rsidRDefault="00EF29CA" w:rsidP="008C75E4">
      <w:pPr>
        <w:spacing w:after="0" w:line="360" w:lineRule="auto"/>
        <w:jc w:val="center"/>
        <w:rPr>
          <w:rFonts w:ascii="Times New Roman" w:eastAsia="Calibri" w:hAnsi="Times New Roman" w:cs="Times New Roman"/>
          <w:b/>
          <w:bCs/>
          <w:caps/>
          <w:color w:val="000000"/>
          <w:sz w:val="24"/>
          <w:szCs w:val="24"/>
        </w:rPr>
      </w:pPr>
      <w:r w:rsidRPr="00A57305">
        <w:rPr>
          <w:rFonts w:ascii="Times New Roman" w:eastAsia="Calibri" w:hAnsi="Times New Roman" w:cs="Times New Roman"/>
          <w:b/>
          <w:bCs/>
          <w:caps/>
          <w:color w:val="000000"/>
          <w:sz w:val="24"/>
          <w:szCs w:val="24"/>
        </w:rPr>
        <w:t>NARUC’s Interest</w:t>
      </w:r>
    </w:p>
    <w:p w14:paraId="56368215" w14:textId="66E84C8A" w:rsidR="00EF29CA" w:rsidRPr="00A57305" w:rsidRDefault="00EF29CA" w:rsidP="008C75E4">
      <w:pPr>
        <w:spacing w:after="0" w:line="360" w:lineRule="auto"/>
        <w:ind w:firstLine="720"/>
        <w:jc w:val="both"/>
        <w:rPr>
          <w:rFonts w:ascii="Times New Roman" w:hAnsi="Times New Roman" w:cs="Times New Roman"/>
          <w:color w:val="000000" w:themeColor="text1"/>
          <w:sz w:val="24"/>
          <w:szCs w:val="24"/>
        </w:rPr>
      </w:pPr>
      <w:r w:rsidRPr="00A57305">
        <w:rPr>
          <w:rFonts w:ascii="Times New Roman" w:hAnsi="Times New Roman" w:cs="Times New Roman"/>
          <w:color w:val="000000" w:themeColor="text1"/>
          <w:sz w:val="24"/>
          <w:szCs w:val="24"/>
        </w:rPr>
        <w:t xml:space="preserve">NARUC is a </w:t>
      </w:r>
      <w:r w:rsidR="007B7946" w:rsidRPr="00A57305">
        <w:rPr>
          <w:rFonts w:ascii="Times New Roman" w:hAnsi="Times New Roman" w:cs="Times New Roman"/>
          <w:color w:val="000000" w:themeColor="text1"/>
          <w:sz w:val="24"/>
          <w:szCs w:val="24"/>
        </w:rPr>
        <w:t xml:space="preserve">bipartisan </w:t>
      </w:r>
      <w:r w:rsidRPr="00A57305">
        <w:rPr>
          <w:rFonts w:ascii="Times New Roman" w:hAnsi="Times New Roman" w:cs="Times New Roman"/>
          <w:color w:val="000000" w:themeColor="text1"/>
          <w:sz w:val="24"/>
          <w:szCs w:val="24"/>
        </w:rPr>
        <w:t>nonprofit organization founded in 1889.  Its members include the government agencies in the fifty States, the District of Columbia, Puerto Rico, and the Virgin Islands charged with regulating the activities of telecommunications, energy, and water utilities.  NARUC is recognized by Congress in several statutes</w:t>
      </w:r>
      <w:r w:rsidRPr="00A57305">
        <w:rPr>
          <w:rFonts w:ascii="Times New Roman" w:hAnsi="Times New Roman" w:cs="Times New Roman"/>
          <w:color w:val="000000" w:themeColor="text1"/>
          <w:sz w:val="24"/>
          <w:szCs w:val="24"/>
          <w:vertAlign w:val="superscript"/>
        </w:rPr>
        <w:footnoteReference w:id="5"/>
      </w:r>
      <w:r w:rsidRPr="00A57305">
        <w:rPr>
          <w:rFonts w:ascii="Times New Roman" w:hAnsi="Times New Roman" w:cs="Times New Roman"/>
          <w:color w:val="000000" w:themeColor="text1"/>
          <w:sz w:val="24"/>
          <w:szCs w:val="24"/>
        </w:rPr>
        <w:t xml:space="preserve"> and consistently by the Courts,</w:t>
      </w:r>
      <w:r w:rsidRPr="00A57305">
        <w:rPr>
          <w:rFonts w:ascii="Times New Roman" w:hAnsi="Times New Roman" w:cs="Times New Roman"/>
          <w:color w:val="000000" w:themeColor="text1"/>
          <w:sz w:val="24"/>
          <w:szCs w:val="24"/>
          <w:vertAlign w:val="superscript"/>
        </w:rPr>
        <w:footnoteReference w:id="6"/>
      </w:r>
      <w:r w:rsidRPr="00A57305">
        <w:rPr>
          <w:rFonts w:ascii="Times New Roman" w:hAnsi="Times New Roman" w:cs="Times New Roman"/>
          <w:color w:val="000000" w:themeColor="text1"/>
          <w:sz w:val="24"/>
          <w:szCs w:val="24"/>
        </w:rPr>
        <w:t xml:space="preserve"> as well as a host of federal agencies,</w:t>
      </w:r>
      <w:r w:rsidRPr="00A57305">
        <w:rPr>
          <w:rFonts w:ascii="Times New Roman" w:hAnsi="Times New Roman" w:cs="Times New Roman"/>
          <w:color w:val="000000" w:themeColor="text1"/>
          <w:sz w:val="24"/>
          <w:szCs w:val="24"/>
          <w:vertAlign w:val="superscript"/>
        </w:rPr>
        <w:footnoteReference w:id="7"/>
      </w:r>
      <w:r w:rsidRPr="00A57305">
        <w:rPr>
          <w:rFonts w:ascii="Times New Roman" w:hAnsi="Times New Roman" w:cs="Times New Roman"/>
          <w:color w:val="000000" w:themeColor="text1"/>
          <w:sz w:val="24"/>
          <w:szCs w:val="24"/>
        </w:rPr>
        <w:t xml:space="preserve"> as the proper entity to represent the collective interests of State utility commissions</w:t>
      </w:r>
      <w:r w:rsidRPr="00A57305">
        <w:rPr>
          <w:rFonts w:ascii="Times New Roman" w:hAnsi="Times New Roman" w:cs="Times New Roman"/>
          <w:i/>
          <w:iCs/>
          <w:color w:val="000000" w:themeColor="text1"/>
          <w:sz w:val="24"/>
          <w:szCs w:val="24"/>
        </w:rPr>
        <w:t xml:space="preserve">.  </w:t>
      </w:r>
      <w:r w:rsidRPr="00A57305">
        <w:rPr>
          <w:rFonts w:ascii="Times New Roman" w:hAnsi="Times New Roman" w:cs="Times New Roman"/>
          <w:color w:val="000000" w:themeColor="text1"/>
          <w:sz w:val="24"/>
          <w:szCs w:val="24"/>
        </w:rPr>
        <w:t>In the Telecommunications Act,</w:t>
      </w:r>
      <w:r w:rsidRPr="00A57305">
        <w:rPr>
          <w:rFonts w:ascii="Times New Roman" w:hAnsi="Times New Roman" w:cs="Times New Roman"/>
          <w:color w:val="000000" w:themeColor="text1"/>
          <w:sz w:val="24"/>
          <w:szCs w:val="24"/>
          <w:vertAlign w:val="superscript"/>
        </w:rPr>
        <w:footnoteReference w:id="8"/>
      </w:r>
      <w:r w:rsidRPr="00A57305">
        <w:rPr>
          <w:rFonts w:ascii="Times New Roman" w:hAnsi="Times New Roman" w:cs="Times New Roman"/>
          <w:color w:val="000000" w:themeColor="text1"/>
          <w:sz w:val="24"/>
          <w:szCs w:val="24"/>
        </w:rPr>
        <w:t xml:space="preserve"> Congress references NARUC as “the national </w:t>
      </w:r>
      <w:r w:rsidRPr="00A57305">
        <w:rPr>
          <w:rFonts w:ascii="Times New Roman" w:hAnsi="Times New Roman" w:cs="Times New Roman"/>
          <w:color w:val="000000" w:themeColor="text1"/>
          <w:sz w:val="24"/>
          <w:szCs w:val="24"/>
        </w:rPr>
        <w:lastRenderedPageBreak/>
        <w:t>organization of the State commissions” responsible for economic and safety regulation of the intrastate operation of carriers and utilities.</w:t>
      </w:r>
      <w:r w:rsidRPr="00A57305">
        <w:rPr>
          <w:rFonts w:ascii="Times New Roman" w:hAnsi="Times New Roman" w:cs="Times New Roman"/>
          <w:color w:val="000000" w:themeColor="text1"/>
          <w:spacing w:val="-3"/>
          <w:sz w:val="24"/>
          <w:szCs w:val="24"/>
          <w:vertAlign w:val="superscript"/>
        </w:rPr>
        <w:footnoteReference w:id="9"/>
      </w:r>
      <w:r w:rsidRPr="00A57305">
        <w:rPr>
          <w:rFonts w:ascii="Times New Roman" w:hAnsi="Times New Roman" w:cs="Times New Roman"/>
          <w:color w:val="000000" w:themeColor="text1"/>
          <w:sz w:val="24"/>
          <w:szCs w:val="24"/>
        </w:rPr>
        <w:t xml:space="preserve">  </w:t>
      </w:r>
    </w:p>
    <w:p w14:paraId="626B774B" w14:textId="696992A5" w:rsidR="00EF29CA" w:rsidRPr="00A57305" w:rsidRDefault="00D627B1" w:rsidP="008C75E4">
      <w:pPr>
        <w:spacing w:after="0" w:line="360" w:lineRule="auto"/>
        <w:jc w:val="center"/>
        <w:rPr>
          <w:rFonts w:ascii="Times New Roman" w:hAnsi="Times New Roman" w:cs="Times New Roman"/>
          <w:b/>
          <w:bCs/>
          <w:iCs/>
          <w:smallCaps/>
          <w:sz w:val="32"/>
          <w:szCs w:val="32"/>
        </w:rPr>
      </w:pPr>
      <w:r w:rsidRPr="00A57305">
        <w:rPr>
          <w:rFonts w:ascii="Times New Roman" w:hAnsi="Times New Roman" w:cs="Times New Roman"/>
          <w:b/>
          <w:bCs/>
          <w:iCs/>
          <w:smallCaps/>
          <w:sz w:val="32"/>
          <w:szCs w:val="32"/>
        </w:rPr>
        <w:t>B</w:t>
      </w:r>
      <w:r w:rsidR="005E4B0D" w:rsidRPr="00A57305">
        <w:rPr>
          <w:rFonts w:ascii="Times New Roman" w:hAnsi="Times New Roman" w:cs="Times New Roman"/>
          <w:b/>
          <w:bCs/>
          <w:iCs/>
          <w:smallCaps/>
          <w:sz w:val="32"/>
          <w:szCs w:val="32"/>
        </w:rPr>
        <w:t>ackground</w:t>
      </w:r>
    </w:p>
    <w:p w14:paraId="3C248E9F" w14:textId="23D5C4A5" w:rsidR="004159A5" w:rsidRPr="00A57305" w:rsidRDefault="004159A5" w:rsidP="00D627B1">
      <w:pPr>
        <w:spacing w:after="0" w:line="480" w:lineRule="auto"/>
        <w:ind w:firstLine="720"/>
        <w:jc w:val="both"/>
        <w:rPr>
          <w:rFonts w:ascii="Times New Roman" w:eastAsia="Calibri" w:hAnsi="Times New Roman" w:cs="Times New Roman"/>
          <w:bCs/>
          <w:color w:val="000000"/>
          <w:sz w:val="24"/>
          <w:szCs w:val="24"/>
        </w:rPr>
      </w:pPr>
      <w:r w:rsidRPr="00A57305">
        <w:rPr>
          <w:rFonts w:ascii="Times New Roman" w:eastAsia="Calibri" w:hAnsi="Times New Roman" w:cs="Times New Roman"/>
          <w:color w:val="000000" w:themeColor="text1"/>
          <w:sz w:val="24"/>
          <w:szCs w:val="24"/>
        </w:rPr>
        <w:t>The</w:t>
      </w:r>
      <w:r w:rsidRPr="00A57305">
        <w:rPr>
          <w:rFonts w:ascii="Times New Roman" w:eastAsia="Calibri" w:hAnsi="Times New Roman" w:cs="Times New Roman"/>
          <w:bCs/>
          <w:color w:val="000000"/>
          <w:sz w:val="24"/>
          <w:szCs w:val="24"/>
        </w:rPr>
        <w:t xml:space="preserve"> Telephone Consumer Protection Act of 1991 (TCPA) is designed to reduce </w:t>
      </w:r>
      <w:r w:rsidR="00761062" w:rsidRPr="00A57305">
        <w:rPr>
          <w:rFonts w:ascii="Times New Roman" w:eastAsia="Calibri" w:hAnsi="Times New Roman" w:cs="Times New Roman"/>
          <w:bCs/>
          <w:color w:val="000000"/>
          <w:sz w:val="24"/>
          <w:szCs w:val="24"/>
        </w:rPr>
        <w:t xml:space="preserve">unwanted </w:t>
      </w:r>
      <w:r w:rsidRPr="00A57305">
        <w:rPr>
          <w:rFonts w:ascii="Times New Roman" w:eastAsia="Calibri" w:hAnsi="Times New Roman" w:cs="Times New Roman"/>
          <w:bCs/>
          <w:color w:val="000000"/>
          <w:sz w:val="24"/>
          <w:szCs w:val="24"/>
        </w:rPr>
        <w:t>robocalls.    A recent article</w:t>
      </w:r>
      <w:r w:rsidRPr="00A57305">
        <w:rPr>
          <w:rStyle w:val="FootnoteReference"/>
          <w:rFonts w:ascii="Times New Roman" w:eastAsia="Calibri" w:hAnsi="Times New Roman" w:cs="Times New Roman"/>
          <w:bCs/>
          <w:color w:val="000000"/>
          <w:sz w:val="24"/>
          <w:szCs w:val="24"/>
        </w:rPr>
        <w:footnoteReference w:id="10"/>
      </w:r>
      <w:r w:rsidRPr="00A57305">
        <w:rPr>
          <w:rFonts w:ascii="Times New Roman" w:eastAsia="Calibri" w:hAnsi="Times New Roman" w:cs="Times New Roman"/>
          <w:bCs/>
          <w:color w:val="000000"/>
          <w:sz w:val="24"/>
          <w:szCs w:val="24"/>
        </w:rPr>
        <w:t xml:space="preserve"> notes</w:t>
      </w:r>
      <w:r w:rsidR="00224FC2" w:rsidRPr="00A57305">
        <w:rPr>
          <w:rFonts w:ascii="Times New Roman" w:eastAsia="Calibri" w:hAnsi="Times New Roman" w:cs="Times New Roman"/>
          <w:bCs/>
          <w:color w:val="000000"/>
          <w:sz w:val="24"/>
          <w:szCs w:val="24"/>
        </w:rPr>
        <w:t>,</w:t>
      </w:r>
      <w:r w:rsidRPr="00A57305">
        <w:rPr>
          <w:rFonts w:ascii="Times New Roman" w:eastAsia="Calibri" w:hAnsi="Times New Roman" w:cs="Times New Roman"/>
          <w:bCs/>
          <w:color w:val="000000"/>
          <w:sz w:val="24"/>
          <w:szCs w:val="24"/>
        </w:rPr>
        <w:t xml:space="preserve"> accurately</w:t>
      </w:r>
      <w:r w:rsidR="00224FC2" w:rsidRPr="00A57305">
        <w:rPr>
          <w:rFonts w:ascii="Times New Roman" w:eastAsia="Calibri" w:hAnsi="Times New Roman" w:cs="Times New Roman"/>
          <w:bCs/>
          <w:color w:val="000000"/>
          <w:sz w:val="24"/>
          <w:szCs w:val="24"/>
        </w:rPr>
        <w:t>,</w:t>
      </w:r>
      <w:r w:rsidRPr="00A57305">
        <w:rPr>
          <w:rFonts w:ascii="Times New Roman" w:eastAsia="Calibri" w:hAnsi="Times New Roman" w:cs="Times New Roman"/>
          <w:bCs/>
          <w:color w:val="000000"/>
          <w:sz w:val="24"/>
          <w:szCs w:val="24"/>
        </w:rPr>
        <w:t xml:space="preserve"> that</w:t>
      </w:r>
    </w:p>
    <w:p w14:paraId="10637FFC" w14:textId="1D926F8B" w:rsidR="004159A5" w:rsidRPr="00A57305" w:rsidRDefault="004159A5" w:rsidP="00D627B1">
      <w:pPr>
        <w:tabs>
          <w:tab w:val="left" w:pos="8100"/>
          <w:tab w:val="left" w:pos="8280"/>
        </w:tabs>
        <w:spacing w:after="0" w:line="240" w:lineRule="auto"/>
        <w:ind w:left="1440" w:right="1440"/>
        <w:jc w:val="both"/>
        <w:rPr>
          <w:rFonts w:ascii="Times New Roman" w:eastAsia="Times New Roman" w:hAnsi="Times New Roman" w:cs="Times New Roman"/>
          <w:sz w:val="24"/>
          <w:szCs w:val="24"/>
        </w:rPr>
      </w:pPr>
      <w:r w:rsidRPr="00A57305">
        <w:rPr>
          <w:rFonts w:ascii="Times New Roman" w:eastAsia="Times New Roman" w:hAnsi="Times New Roman" w:cs="Times New Roman"/>
          <w:sz w:val="24"/>
          <w:szCs w:val="24"/>
        </w:rPr>
        <w:t>[The TCPA]</w:t>
      </w:r>
      <w:r w:rsidR="00D627B1" w:rsidRPr="00A57305">
        <w:rPr>
          <w:rFonts w:ascii="Times New Roman" w:eastAsia="Times New Roman" w:hAnsi="Times New Roman" w:cs="Times New Roman"/>
          <w:sz w:val="24"/>
          <w:szCs w:val="24"/>
        </w:rPr>
        <w:t xml:space="preserve"> </w:t>
      </w:r>
      <w:r w:rsidRPr="00A57305">
        <w:rPr>
          <w:rFonts w:ascii="Times New Roman" w:eastAsia="Times New Roman" w:hAnsi="Times New Roman" w:cs="Times New Roman"/>
          <w:sz w:val="24"/>
          <w:szCs w:val="24"/>
        </w:rPr>
        <w:t xml:space="preserve">provides huge penalties against companies and individuals that engage in illegal calling or texting practices and </w:t>
      </w:r>
      <w:r w:rsidR="00993A48" w:rsidRPr="00A57305">
        <w:rPr>
          <w:rFonts w:ascii="Times New Roman" w:eastAsia="Times New Roman" w:hAnsi="Times New Roman" w:cs="Times New Roman"/>
          <w:sz w:val="24"/>
          <w:szCs w:val="24"/>
        </w:rPr>
        <w:t>…</w:t>
      </w:r>
      <w:r w:rsidR="00224FC2" w:rsidRPr="00A57305">
        <w:rPr>
          <w:rFonts w:ascii="Times New Roman" w:eastAsia="Times New Roman" w:hAnsi="Times New Roman" w:cs="Times New Roman"/>
          <w:sz w:val="24"/>
          <w:szCs w:val="24"/>
        </w:rPr>
        <w:t xml:space="preserve"> </w:t>
      </w:r>
      <w:r w:rsidRPr="00A57305">
        <w:rPr>
          <w:rFonts w:ascii="Times New Roman" w:eastAsia="Times New Roman" w:hAnsi="Times New Roman" w:cs="Times New Roman"/>
          <w:sz w:val="24"/>
          <w:szCs w:val="24"/>
        </w:rPr>
        <w:t>is often abused by litigators and class action attorneys who have turned the TCPA into the biggest litigation cash cow in American history–netting a huge number of large-dollar class settlements.</w:t>
      </w:r>
    </w:p>
    <w:p w14:paraId="53B4E722" w14:textId="77777777" w:rsidR="00D627B1" w:rsidRPr="00A57305" w:rsidRDefault="00D627B1" w:rsidP="00D627B1">
      <w:pPr>
        <w:tabs>
          <w:tab w:val="left" w:pos="8100"/>
          <w:tab w:val="left" w:pos="8280"/>
        </w:tabs>
        <w:spacing w:after="0" w:line="240" w:lineRule="auto"/>
        <w:ind w:left="1440" w:right="1440"/>
        <w:jc w:val="both"/>
        <w:rPr>
          <w:rFonts w:ascii="Times New Roman" w:eastAsia="Times New Roman" w:hAnsi="Times New Roman" w:cs="Times New Roman"/>
          <w:sz w:val="24"/>
          <w:szCs w:val="24"/>
        </w:rPr>
      </w:pPr>
    </w:p>
    <w:p w14:paraId="543191A1" w14:textId="72A1E8B2" w:rsidR="004159A5" w:rsidRPr="00A57305" w:rsidRDefault="004159A5" w:rsidP="0064611F">
      <w:pPr>
        <w:spacing w:after="0" w:line="360" w:lineRule="auto"/>
        <w:jc w:val="both"/>
        <w:rPr>
          <w:rFonts w:ascii="Times New Roman" w:eastAsia="Calibri" w:hAnsi="Times New Roman" w:cs="Times New Roman"/>
          <w:color w:val="000000" w:themeColor="text1"/>
          <w:sz w:val="24"/>
          <w:szCs w:val="24"/>
        </w:rPr>
      </w:pPr>
      <w:r w:rsidRPr="00A57305">
        <w:rPr>
          <w:rFonts w:ascii="Times New Roman" w:eastAsia="Times New Roman" w:hAnsi="Times New Roman" w:cs="Times New Roman"/>
          <w:sz w:val="24"/>
          <w:szCs w:val="24"/>
        </w:rPr>
        <w:tab/>
      </w:r>
      <w:r w:rsidR="00993A48" w:rsidRPr="00A57305">
        <w:rPr>
          <w:rFonts w:ascii="Times New Roman" w:eastAsia="Times New Roman" w:hAnsi="Times New Roman" w:cs="Times New Roman"/>
          <w:sz w:val="24"/>
          <w:szCs w:val="24"/>
        </w:rPr>
        <w:t>To its credit, b</w:t>
      </w:r>
      <w:r w:rsidRPr="00A57305">
        <w:rPr>
          <w:rFonts w:ascii="Times New Roman" w:eastAsia="Times New Roman" w:hAnsi="Times New Roman" w:cs="Times New Roman"/>
          <w:sz w:val="24"/>
          <w:szCs w:val="24"/>
        </w:rPr>
        <w:t>ecause of th</w:t>
      </w:r>
      <w:r w:rsidR="00CA4AA2" w:rsidRPr="00A57305">
        <w:rPr>
          <w:rFonts w:ascii="Times New Roman" w:eastAsia="Times New Roman" w:hAnsi="Times New Roman" w:cs="Times New Roman"/>
          <w:sz w:val="24"/>
          <w:szCs w:val="24"/>
        </w:rPr>
        <w:t>is</w:t>
      </w:r>
      <w:r w:rsidRPr="00A57305">
        <w:rPr>
          <w:rFonts w:ascii="Times New Roman" w:eastAsia="Times New Roman" w:hAnsi="Times New Roman" w:cs="Times New Roman"/>
          <w:sz w:val="24"/>
          <w:szCs w:val="24"/>
        </w:rPr>
        <w:t xml:space="preserve"> significant litigation risk, </w:t>
      </w:r>
      <w:r w:rsidR="00993A48" w:rsidRPr="00A57305">
        <w:rPr>
          <w:rFonts w:ascii="Times New Roman" w:eastAsia="Times New Roman" w:hAnsi="Times New Roman" w:cs="Times New Roman"/>
          <w:sz w:val="24"/>
          <w:szCs w:val="24"/>
        </w:rPr>
        <w:t>the FCC</w:t>
      </w:r>
      <w:r w:rsidRPr="00A57305">
        <w:rPr>
          <w:rFonts w:ascii="Times New Roman" w:eastAsia="Calibri" w:hAnsi="Times New Roman" w:cs="Times New Roman"/>
          <w:color w:val="000000" w:themeColor="text1"/>
          <w:sz w:val="24"/>
          <w:szCs w:val="24"/>
        </w:rPr>
        <w:t xml:space="preserve"> has already provided </w:t>
      </w:r>
      <w:r w:rsidR="0064611F" w:rsidRPr="00A57305">
        <w:rPr>
          <w:rFonts w:ascii="Times New Roman" w:eastAsia="Calibri" w:hAnsi="Times New Roman" w:cs="Times New Roman"/>
          <w:color w:val="000000" w:themeColor="text1"/>
          <w:sz w:val="24"/>
          <w:szCs w:val="24"/>
        </w:rPr>
        <w:t xml:space="preserve">several </w:t>
      </w:r>
      <w:r w:rsidRPr="00A57305">
        <w:rPr>
          <w:rFonts w:ascii="Times New Roman" w:eastAsia="Calibri" w:hAnsi="Times New Roman" w:cs="Times New Roman"/>
          <w:color w:val="000000" w:themeColor="text1"/>
          <w:sz w:val="24"/>
          <w:szCs w:val="24"/>
        </w:rPr>
        <w:t xml:space="preserve">useful clarifications </w:t>
      </w:r>
      <w:r w:rsidR="00224FC2" w:rsidRPr="00A57305">
        <w:rPr>
          <w:rFonts w:ascii="Times New Roman" w:eastAsia="Calibri" w:hAnsi="Times New Roman" w:cs="Times New Roman"/>
          <w:color w:val="000000" w:themeColor="text1"/>
          <w:sz w:val="24"/>
          <w:szCs w:val="24"/>
        </w:rPr>
        <w:t xml:space="preserve">created </w:t>
      </w:r>
      <w:r w:rsidR="0064611F" w:rsidRPr="00A57305">
        <w:rPr>
          <w:rFonts w:ascii="Times New Roman" w:eastAsia="Calibri" w:hAnsi="Times New Roman" w:cs="Times New Roman"/>
          <w:color w:val="000000" w:themeColor="text1"/>
          <w:sz w:val="24"/>
          <w:szCs w:val="24"/>
        </w:rPr>
        <w:t xml:space="preserve">specifically </w:t>
      </w:r>
      <w:r w:rsidRPr="00A57305">
        <w:rPr>
          <w:rFonts w:ascii="Times New Roman" w:eastAsia="Calibri" w:hAnsi="Times New Roman" w:cs="Times New Roman"/>
          <w:color w:val="000000" w:themeColor="text1"/>
          <w:sz w:val="24"/>
          <w:szCs w:val="24"/>
        </w:rPr>
        <w:t xml:space="preserve">to permit customers to benefit from specific types of calls.  In 2016, </w:t>
      </w:r>
      <w:r w:rsidR="00256EFD" w:rsidRPr="00A57305">
        <w:rPr>
          <w:rFonts w:ascii="Times New Roman" w:eastAsia="Calibri" w:hAnsi="Times New Roman" w:cs="Times New Roman"/>
          <w:color w:val="000000" w:themeColor="text1"/>
          <w:sz w:val="24"/>
          <w:szCs w:val="24"/>
        </w:rPr>
        <w:t>in response to a petition for clarification filed by EEI (and partially supported by NARUC)</w:t>
      </w:r>
      <w:r w:rsidR="00224FC2" w:rsidRPr="00A57305">
        <w:rPr>
          <w:rFonts w:ascii="Times New Roman" w:eastAsia="Calibri" w:hAnsi="Times New Roman" w:cs="Times New Roman"/>
          <w:color w:val="000000" w:themeColor="text1"/>
          <w:sz w:val="24"/>
          <w:szCs w:val="24"/>
        </w:rPr>
        <w:t>,</w:t>
      </w:r>
      <w:r w:rsidR="00256EFD" w:rsidRPr="00A57305">
        <w:rPr>
          <w:rFonts w:ascii="Times New Roman" w:eastAsia="Calibri" w:hAnsi="Times New Roman" w:cs="Times New Roman"/>
          <w:color w:val="000000" w:themeColor="text1"/>
          <w:sz w:val="24"/>
          <w:szCs w:val="24"/>
        </w:rPr>
        <w:t xml:space="preserve"> </w:t>
      </w:r>
      <w:r w:rsidRPr="00A57305">
        <w:rPr>
          <w:rFonts w:ascii="Times New Roman" w:eastAsia="Calibri" w:hAnsi="Times New Roman" w:cs="Times New Roman"/>
          <w:color w:val="000000" w:themeColor="text1"/>
          <w:sz w:val="24"/>
          <w:szCs w:val="24"/>
        </w:rPr>
        <w:t>the commission clarified that, with respect to customers</w:t>
      </w:r>
      <w:r w:rsidR="008176EB" w:rsidRPr="00A57305">
        <w:rPr>
          <w:rFonts w:ascii="Times New Roman" w:eastAsia="Calibri" w:hAnsi="Times New Roman" w:cs="Times New Roman"/>
          <w:color w:val="000000" w:themeColor="text1"/>
          <w:sz w:val="24"/>
          <w:szCs w:val="24"/>
        </w:rPr>
        <w:t xml:space="preserve"> that provide their cell number</w:t>
      </w:r>
      <w:r w:rsidR="007C3CCA" w:rsidRPr="00A57305">
        <w:rPr>
          <w:rFonts w:ascii="Times New Roman" w:eastAsia="Calibri" w:hAnsi="Times New Roman" w:cs="Times New Roman"/>
          <w:color w:val="000000" w:themeColor="text1"/>
          <w:sz w:val="24"/>
          <w:szCs w:val="24"/>
        </w:rPr>
        <w:t>,</w:t>
      </w:r>
    </w:p>
    <w:p w14:paraId="0CACB857" w14:textId="77777777" w:rsidR="004159A5" w:rsidRPr="00A57305" w:rsidRDefault="004159A5" w:rsidP="00FD449A">
      <w:pPr>
        <w:kinsoku w:val="0"/>
        <w:overflowPunct w:val="0"/>
        <w:autoSpaceDE w:val="0"/>
        <w:autoSpaceDN w:val="0"/>
        <w:adjustRightInd w:val="0"/>
        <w:spacing w:after="0" w:line="240" w:lineRule="auto"/>
        <w:ind w:left="1440" w:right="1440"/>
        <w:jc w:val="both"/>
        <w:rPr>
          <w:rFonts w:ascii="Times New Roman" w:hAnsi="Times New Roman" w:cs="Times New Roman"/>
          <w:sz w:val="24"/>
          <w:szCs w:val="24"/>
        </w:rPr>
      </w:pPr>
      <w:r w:rsidRPr="00A57305">
        <w:rPr>
          <w:rFonts w:ascii="Times New Roman" w:hAnsi="Times New Roman" w:cs="Times New Roman"/>
          <w:sz w:val="24"/>
          <w:szCs w:val="24"/>
        </w:rPr>
        <w:t>utility</w:t>
      </w:r>
      <w:r w:rsidRPr="00A57305">
        <w:rPr>
          <w:rFonts w:ascii="Times New Roman" w:hAnsi="Times New Roman" w:cs="Times New Roman"/>
          <w:spacing w:val="-1"/>
          <w:sz w:val="24"/>
          <w:szCs w:val="24"/>
        </w:rPr>
        <w:t xml:space="preserve"> </w:t>
      </w:r>
      <w:r w:rsidRPr="00A57305">
        <w:rPr>
          <w:rFonts w:ascii="Times New Roman" w:hAnsi="Times New Roman" w:cs="Times New Roman"/>
          <w:sz w:val="24"/>
          <w:szCs w:val="24"/>
        </w:rPr>
        <w:t>companies</w:t>
      </w:r>
      <w:r w:rsidRPr="00A57305">
        <w:rPr>
          <w:rFonts w:ascii="Times New Roman" w:hAnsi="Times New Roman" w:cs="Times New Roman"/>
          <w:spacing w:val="-2"/>
          <w:sz w:val="24"/>
          <w:szCs w:val="24"/>
        </w:rPr>
        <w:t xml:space="preserve"> </w:t>
      </w:r>
      <w:r w:rsidRPr="00A57305">
        <w:rPr>
          <w:rFonts w:ascii="Times New Roman" w:hAnsi="Times New Roman" w:cs="Times New Roman"/>
          <w:sz w:val="24"/>
          <w:szCs w:val="24"/>
        </w:rPr>
        <w:t>may</w:t>
      </w:r>
      <w:r w:rsidRPr="00A57305">
        <w:rPr>
          <w:rFonts w:ascii="Times New Roman" w:hAnsi="Times New Roman" w:cs="Times New Roman"/>
          <w:spacing w:val="-1"/>
          <w:sz w:val="24"/>
          <w:szCs w:val="24"/>
        </w:rPr>
        <w:t xml:space="preserve"> </w:t>
      </w:r>
      <w:r w:rsidRPr="00A57305">
        <w:rPr>
          <w:rFonts w:ascii="Times New Roman" w:hAnsi="Times New Roman" w:cs="Times New Roman"/>
          <w:sz w:val="24"/>
          <w:szCs w:val="24"/>
        </w:rPr>
        <w:t>make robocalls and send automated</w:t>
      </w:r>
      <w:r w:rsidRPr="00A57305">
        <w:rPr>
          <w:rFonts w:ascii="Times New Roman" w:hAnsi="Times New Roman" w:cs="Times New Roman"/>
          <w:spacing w:val="-3"/>
          <w:sz w:val="24"/>
          <w:szCs w:val="24"/>
        </w:rPr>
        <w:t xml:space="preserve"> </w:t>
      </w:r>
      <w:r w:rsidRPr="00A57305">
        <w:rPr>
          <w:rFonts w:ascii="Times New Roman" w:hAnsi="Times New Roman" w:cs="Times New Roman"/>
          <w:sz w:val="24"/>
          <w:szCs w:val="24"/>
        </w:rPr>
        <w:t>texts to</w:t>
      </w:r>
      <w:r w:rsidRPr="00A57305">
        <w:rPr>
          <w:rFonts w:ascii="Times New Roman" w:hAnsi="Times New Roman" w:cs="Times New Roman"/>
          <w:spacing w:val="-1"/>
          <w:sz w:val="24"/>
          <w:szCs w:val="24"/>
        </w:rPr>
        <w:t xml:space="preserve"> </w:t>
      </w:r>
      <w:r w:rsidRPr="00A57305">
        <w:rPr>
          <w:rFonts w:ascii="Times New Roman" w:hAnsi="Times New Roman" w:cs="Times New Roman"/>
          <w:sz w:val="24"/>
          <w:szCs w:val="24"/>
        </w:rPr>
        <w:t>their customers</w:t>
      </w:r>
      <w:r w:rsidRPr="00A57305">
        <w:rPr>
          <w:rFonts w:ascii="Times New Roman" w:hAnsi="Times New Roman" w:cs="Times New Roman"/>
          <w:spacing w:val="-2"/>
          <w:sz w:val="24"/>
          <w:szCs w:val="24"/>
        </w:rPr>
        <w:t xml:space="preserve"> </w:t>
      </w:r>
      <w:r w:rsidRPr="00A57305">
        <w:rPr>
          <w:rFonts w:ascii="Times New Roman" w:hAnsi="Times New Roman" w:cs="Times New Roman"/>
          <w:sz w:val="24"/>
          <w:szCs w:val="24"/>
        </w:rPr>
        <w:t>concerning</w:t>
      </w:r>
      <w:r w:rsidRPr="00A57305">
        <w:rPr>
          <w:rFonts w:ascii="Times New Roman" w:hAnsi="Times New Roman" w:cs="Times New Roman"/>
          <w:spacing w:val="-3"/>
          <w:sz w:val="24"/>
          <w:szCs w:val="24"/>
        </w:rPr>
        <w:t xml:space="preserve"> </w:t>
      </w:r>
      <w:r w:rsidRPr="00A57305">
        <w:rPr>
          <w:rFonts w:ascii="Times New Roman" w:hAnsi="Times New Roman" w:cs="Times New Roman"/>
          <w:sz w:val="24"/>
          <w:szCs w:val="24"/>
        </w:rPr>
        <w:t>matters closely</w:t>
      </w:r>
      <w:r w:rsidRPr="00A57305">
        <w:rPr>
          <w:rFonts w:ascii="Times New Roman" w:hAnsi="Times New Roman" w:cs="Times New Roman"/>
          <w:spacing w:val="-2"/>
          <w:sz w:val="24"/>
          <w:szCs w:val="24"/>
        </w:rPr>
        <w:t xml:space="preserve"> </w:t>
      </w:r>
      <w:r w:rsidRPr="00A57305">
        <w:rPr>
          <w:rFonts w:ascii="Times New Roman" w:hAnsi="Times New Roman" w:cs="Times New Roman"/>
          <w:sz w:val="24"/>
          <w:szCs w:val="24"/>
        </w:rPr>
        <w:t>related to the utility service, such</w:t>
      </w:r>
      <w:r w:rsidRPr="00A57305">
        <w:rPr>
          <w:rFonts w:ascii="Times New Roman" w:hAnsi="Times New Roman" w:cs="Times New Roman"/>
          <w:spacing w:val="-3"/>
          <w:sz w:val="24"/>
          <w:szCs w:val="24"/>
        </w:rPr>
        <w:t xml:space="preserve"> </w:t>
      </w:r>
      <w:r w:rsidRPr="00A57305">
        <w:rPr>
          <w:rFonts w:ascii="Times New Roman" w:hAnsi="Times New Roman" w:cs="Times New Roman"/>
          <w:sz w:val="24"/>
          <w:szCs w:val="24"/>
        </w:rPr>
        <w:t>as a service</w:t>
      </w:r>
      <w:r w:rsidRPr="00A57305">
        <w:rPr>
          <w:rFonts w:ascii="Times New Roman" w:hAnsi="Times New Roman" w:cs="Times New Roman"/>
          <w:spacing w:val="-2"/>
          <w:sz w:val="24"/>
          <w:szCs w:val="24"/>
        </w:rPr>
        <w:t xml:space="preserve"> </w:t>
      </w:r>
      <w:r w:rsidRPr="00A57305">
        <w:rPr>
          <w:rFonts w:ascii="Times New Roman" w:hAnsi="Times New Roman" w:cs="Times New Roman"/>
          <w:sz w:val="24"/>
          <w:szCs w:val="24"/>
        </w:rPr>
        <w:t>outage</w:t>
      </w:r>
      <w:r w:rsidRPr="00A57305">
        <w:rPr>
          <w:rFonts w:ascii="Times New Roman" w:hAnsi="Times New Roman" w:cs="Times New Roman"/>
          <w:spacing w:val="-1"/>
          <w:sz w:val="24"/>
          <w:szCs w:val="24"/>
        </w:rPr>
        <w:t xml:space="preserve"> </w:t>
      </w:r>
      <w:r w:rsidRPr="00A57305">
        <w:rPr>
          <w:rFonts w:ascii="Times New Roman" w:hAnsi="Times New Roman" w:cs="Times New Roman"/>
          <w:sz w:val="24"/>
          <w:szCs w:val="24"/>
        </w:rPr>
        <w:t>or</w:t>
      </w:r>
      <w:r w:rsidRPr="00A57305">
        <w:rPr>
          <w:rFonts w:ascii="Times New Roman" w:hAnsi="Times New Roman" w:cs="Times New Roman"/>
          <w:spacing w:val="-3"/>
          <w:sz w:val="24"/>
          <w:szCs w:val="24"/>
        </w:rPr>
        <w:t xml:space="preserve"> </w:t>
      </w:r>
      <w:r w:rsidRPr="00A57305">
        <w:rPr>
          <w:rFonts w:ascii="Times New Roman" w:hAnsi="Times New Roman" w:cs="Times New Roman"/>
          <w:sz w:val="24"/>
          <w:szCs w:val="24"/>
        </w:rPr>
        <w:t>warning</w:t>
      </w:r>
      <w:r w:rsidRPr="00A57305">
        <w:rPr>
          <w:rFonts w:ascii="Times New Roman" w:hAnsi="Times New Roman" w:cs="Times New Roman"/>
          <w:spacing w:val="-3"/>
          <w:sz w:val="24"/>
          <w:szCs w:val="24"/>
        </w:rPr>
        <w:t xml:space="preserve"> </w:t>
      </w:r>
      <w:r w:rsidRPr="00A57305">
        <w:rPr>
          <w:rFonts w:ascii="Times New Roman" w:hAnsi="Times New Roman" w:cs="Times New Roman"/>
          <w:sz w:val="24"/>
          <w:szCs w:val="24"/>
        </w:rPr>
        <w:t>about potential</w:t>
      </w:r>
      <w:r w:rsidRPr="00A57305">
        <w:rPr>
          <w:rFonts w:ascii="Times New Roman" w:hAnsi="Times New Roman" w:cs="Times New Roman"/>
          <w:spacing w:val="-3"/>
          <w:sz w:val="24"/>
          <w:szCs w:val="24"/>
        </w:rPr>
        <w:t xml:space="preserve"> </w:t>
      </w:r>
      <w:r w:rsidRPr="00A57305">
        <w:rPr>
          <w:rFonts w:ascii="Times New Roman" w:hAnsi="Times New Roman" w:cs="Times New Roman"/>
          <w:sz w:val="24"/>
          <w:szCs w:val="24"/>
        </w:rPr>
        <w:t>service</w:t>
      </w:r>
      <w:r w:rsidRPr="00A57305">
        <w:rPr>
          <w:rFonts w:ascii="Times New Roman" w:hAnsi="Times New Roman" w:cs="Times New Roman"/>
          <w:spacing w:val="-1"/>
          <w:sz w:val="24"/>
          <w:szCs w:val="24"/>
        </w:rPr>
        <w:t xml:space="preserve"> </w:t>
      </w:r>
      <w:r w:rsidRPr="00A57305">
        <w:rPr>
          <w:rFonts w:ascii="Times New Roman" w:hAnsi="Times New Roman" w:cs="Times New Roman"/>
          <w:sz w:val="24"/>
          <w:szCs w:val="24"/>
        </w:rPr>
        <w:t>interruptions due</w:t>
      </w:r>
      <w:r w:rsidRPr="00A57305">
        <w:rPr>
          <w:rFonts w:ascii="Times New Roman" w:hAnsi="Times New Roman" w:cs="Times New Roman"/>
          <w:spacing w:val="-2"/>
          <w:sz w:val="24"/>
          <w:szCs w:val="24"/>
        </w:rPr>
        <w:t xml:space="preserve"> </w:t>
      </w:r>
      <w:r w:rsidRPr="00A57305">
        <w:rPr>
          <w:rFonts w:ascii="Times New Roman" w:hAnsi="Times New Roman" w:cs="Times New Roman"/>
          <w:sz w:val="24"/>
          <w:szCs w:val="24"/>
        </w:rPr>
        <w:t>to severe</w:t>
      </w:r>
      <w:r w:rsidRPr="00A57305">
        <w:rPr>
          <w:rFonts w:ascii="Times New Roman" w:hAnsi="Times New Roman" w:cs="Times New Roman"/>
          <w:spacing w:val="-1"/>
          <w:sz w:val="24"/>
          <w:szCs w:val="24"/>
        </w:rPr>
        <w:t xml:space="preserve"> </w:t>
      </w:r>
      <w:r w:rsidRPr="00A57305">
        <w:rPr>
          <w:rFonts w:ascii="Times New Roman" w:hAnsi="Times New Roman" w:cs="Times New Roman"/>
          <w:sz w:val="24"/>
          <w:szCs w:val="24"/>
        </w:rPr>
        <w:t>weather</w:t>
      </w:r>
      <w:r w:rsidRPr="00A57305">
        <w:rPr>
          <w:rFonts w:ascii="Times New Roman" w:hAnsi="Times New Roman" w:cs="Times New Roman"/>
          <w:spacing w:val="-2"/>
          <w:sz w:val="24"/>
          <w:szCs w:val="24"/>
        </w:rPr>
        <w:t xml:space="preserve"> </w:t>
      </w:r>
      <w:r w:rsidRPr="00A57305">
        <w:rPr>
          <w:rFonts w:ascii="Times New Roman" w:hAnsi="Times New Roman" w:cs="Times New Roman"/>
          <w:sz w:val="24"/>
          <w:szCs w:val="24"/>
        </w:rPr>
        <w:t>conditions, because their customers</w:t>
      </w:r>
      <w:r w:rsidRPr="00A57305">
        <w:rPr>
          <w:rFonts w:ascii="Times New Roman" w:hAnsi="Times New Roman" w:cs="Times New Roman"/>
          <w:spacing w:val="-3"/>
          <w:sz w:val="24"/>
          <w:szCs w:val="24"/>
        </w:rPr>
        <w:t xml:space="preserve"> </w:t>
      </w:r>
      <w:r w:rsidRPr="00A57305">
        <w:rPr>
          <w:rFonts w:ascii="Times New Roman" w:hAnsi="Times New Roman" w:cs="Times New Roman"/>
          <w:sz w:val="24"/>
          <w:szCs w:val="24"/>
        </w:rPr>
        <w:t>provided</w:t>
      </w:r>
      <w:r w:rsidRPr="00A57305">
        <w:rPr>
          <w:rFonts w:ascii="Times New Roman" w:hAnsi="Times New Roman" w:cs="Times New Roman"/>
          <w:spacing w:val="-3"/>
          <w:sz w:val="24"/>
          <w:szCs w:val="24"/>
        </w:rPr>
        <w:t xml:space="preserve"> </w:t>
      </w:r>
      <w:r w:rsidRPr="00A57305">
        <w:rPr>
          <w:rFonts w:ascii="Times New Roman" w:hAnsi="Times New Roman" w:cs="Times New Roman"/>
          <w:sz w:val="24"/>
          <w:szCs w:val="24"/>
        </w:rPr>
        <w:t>consent</w:t>
      </w:r>
      <w:r w:rsidRPr="00A57305">
        <w:rPr>
          <w:rFonts w:ascii="Times New Roman" w:hAnsi="Times New Roman" w:cs="Times New Roman"/>
          <w:spacing w:val="-2"/>
          <w:sz w:val="24"/>
          <w:szCs w:val="24"/>
        </w:rPr>
        <w:t xml:space="preserve"> </w:t>
      </w:r>
      <w:r w:rsidRPr="00A57305">
        <w:rPr>
          <w:rFonts w:ascii="Times New Roman" w:hAnsi="Times New Roman" w:cs="Times New Roman"/>
          <w:sz w:val="24"/>
          <w:szCs w:val="24"/>
        </w:rPr>
        <w:t>to receive</w:t>
      </w:r>
      <w:r w:rsidRPr="00A57305">
        <w:rPr>
          <w:rFonts w:ascii="Times New Roman" w:hAnsi="Times New Roman" w:cs="Times New Roman"/>
          <w:spacing w:val="-2"/>
          <w:sz w:val="24"/>
          <w:szCs w:val="24"/>
        </w:rPr>
        <w:t xml:space="preserve"> </w:t>
      </w:r>
      <w:r w:rsidRPr="00A57305">
        <w:rPr>
          <w:rFonts w:ascii="Times New Roman" w:hAnsi="Times New Roman" w:cs="Times New Roman"/>
          <w:sz w:val="24"/>
          <w:szCs w:val="24"/>
        </w:rPr>
        <w:t>these calls</w:t>
      </w:r>
      <w:r w:rsidRPr="00A57305">
        <w:rPr>
          <w:rFonts w:ascii="Times New Roman" w:hAnsi="Times New Roman" w:cs="Times New Roman"/>
          <w:spacing w:val="-2"/>
          <w:sz w:val="24"/>
          <w:szCs w:val="24"/>
        </w:rPr>
        <w:t xml:space="preserve"> </w:t>
      </w:r>
      <w:r w:rsidRPr="00A57305">
        <w:rPr>
          <w:rFonts w:ascii="Times New Roman" w:hAnsi="Times New Roman" w:cs="Times New Roman"/>
          <w:sz w:val="24"/>
          <w:szCs w:val="24"/>
        </w:rPr>
        <w:t>and</w:t>
      </w:r>
      <w:r w:rsidRPr="00A57305">
        <w:rPr>
          <w:rFonts w:ascii="Times New Roman" w:hAnsi="Times New Roman" w:cs="Times New Roman"/>
          <w:spacing w:val="-1"/>
          <w:sz w:val="24"/>
          <w:szCs w:val="24"/>
        </w:rPr>
        <w:t xml:space="preserve"> </w:t>
      </w:r>
      <w:r w:rsidRPr="00A57305">
        <w:rPr>
          <w:rFonts w:ascii="Times New Roman" w:hAnsi="Times New Roman" w:cs="Times New Roman"/>
          <w:sz w:val="24"/>
          <w:szCs w:val="24"/>
        </w:rPr>
        <w:t>texts</w:t>
      </w:r>
      <w:r w:rsidRPr="00A57305">
        <w:rPr>
          <w:rFonts w:ascii="Times New Roman" w:hAnsi="Times New Roman" w:cs="Times New Roman"/>
          <w:spacing w:val="-2"/>
          <w:sz w:val="24"/>
          <w:szCs w:val="24"/>
        </w:rPr>
        <w:t xml:space="preserve"> </w:t>
      </w:r>
      <w:r w:rsidRPr="00A57305">
        <w:rPr>
          <w:rFonts w:ascii="Times New Roman" w:hAnsi="Times New Roman" w:cs="Times New Roman"/>
          <w:sz w:val="24"/>
          <w:szCs w:val="24"/>
        </w:rPr>
        <w:t>when</w:t>
      </w:r>
      <w:r w:rsidRPr="00A57305">
        <w:rPr>
          <w:rFonts w:ascii="Times New Roman" w:hAnsi="Times New Roman" w:cs="Times New Roman"/>
          <w:spacing w:val="-3"/>
          <w:sz w:val="24"/>
          <w:szCs w:val="24"/>
        </w:rPr>
        <w:t xml:space="preserve"> </w:t>
      </w:r>
      <w:r w:rsidRPr="00A57305">
        <w:rPr>
          <w:rFonts w:ascii="Times New Roman" w:hAnsi="Times New Roman" w:cs="Times New Roman"/>
          <w:sz w:val="24"/>
          <w:szCs w:val="24"/>
        </w:rPr>
        <w:t>they gave their phone numbers to the utility company.</w:t>
      </w:r>
      <w:r w:rsidRPr="00A57305">
        <w:rPr>
          <w:rStyle w:val="FootnoteReference"/>
          <w:rFonts w:ascii="Times New Roman" w:hAnsi="Times New Roman" w:cs="Times New Roman"/>
          <w:sz w:val="24"/>
          <w:szCs w:val="24"/>
        </w:rPr>
        <w:footnoteReference w:id="11"/>
      </w:r>
    </w:p>
    <w:p w14:paraId="0508D703" w14:textId="77777777" w:rsidR="004159A5" w:rsidRPr="00A57305" w:rsidRDefault="004159A5" w:rsidP="00D627B1">
      <w:pPr>
        <w:spacing w:before="100" w:beforeAutospacing="1" w:after="100" w:afterAutospacing="1" w:line="240" w:lineRule="auto"/>
        <w:jc w:val="both"/>
        <w:rPr>
          <w:rFonts w:ascii="Times New Roman" w:eastAsia="Calibri" w:hAnsi="Times New Roman" w:cs="Times New Roman"/>
          <w:color w:val="000000" w:themeColor="text1"/>
          <w:sz w:val="24"/>
          <w:szCs w:val="24"/>
        </w:rPr>
      </w:pPr>
      <w:r w:rsidRPr="00A57305">
        <w:rPr>
          <w:rFonts w:ascii="Times New Roman" w:eastAsia="Calibri" w:hAnsi="Times New Roman" w:cs="Times New Roman"/>
          <w:color w:val="000000" w:themeColor="text1"/>
          <w:sz w:val="24"/>
          <w:szCs w:val="24"/>
        </w:rPr>
        <w:tab/>
        <w:t xml:space="preserve">The Commission was very specific in defining “calls related to the service” as including: </w:t>
      </w:r>
    </w:p>
    <w:p w14:paraId="3F2D3E45" w14:textId="6B8D51C1" w:rsidR="004159A5" w:rsidRPr="00A57305" w:rsidRDefault="004159A5" w:rsidP="00FD449A">
      <w:pPr>
        <w:shd w:val="clear" w:color="auto" w:fill="FFFFFF"/>
        <w:spacing w:after="0" w:line="240" w:lineRule="auto"/>
        <w:ind w:left="1440" w:right="1440"/>
        <w:jc w:val="both"/>
        <w:rPr>
          <w:rFonts w:ascii="Times New Roman" w:eastAsia="Times New Roman" w:hAnsi="Times New Roman" w:cs="Times New Roman"/>
          <w:color w:val="000000"/>
          <w:sz w:val="24"/>
          <w:szCs w:val="24"/>
        </w:rPr>
      </w:pPr>
      <w:r w:rsidRPr="00A57305">
        <w:rPr>
          <w:rFonts w:ascii="Times New Roman" w:eastAsia="Times New Roman" w:hAnsi="Times New Roman" w:cs="Times New Roman"/>
          <w:color w:val="000000"/>
          <w:sz w:val="24"/>
          <w:szCs w:val="24"/>
        </w:rPr>
        <w:t xml:space="preserve">those that warn about planned or unplanned service outages; provide updates about service outages or service restoration; ask for </w:t>
      </w:r>
      <w:r w:rsidRPr="00A57305">
        <w:rPr>
          <w:rFonts w:ascii="Times New Roman" w:eastAsia="Times New Roman" w:hAnsi="Times New Roman" w:cs="Times New Roman"/>
          <w:color w:val="000000"/>
          <w:sz w:val="24"/>
          <w:szCs w:val="24"/>
        </w:rPr>
        <w:lastRenderedPageBreak/>
        <w:t xml:space="preserve">confirmation of service restoration or information about lack of service; provide notification of meter work, tree trimming, or other field work that directly affects the customer's utility service; notify consumers they may be eligible for subsidized or low-cost services due to certain qualifiers such as, </w:t>
      </w:r>
      <w:r w:rsidRPr="00A57305">
        <w:rPr>
          <w:rFonts w:ascii="Times New Roman" w:eastAsia="Times New Roman" w:hAnsi="Times New Roman" w:cs="Times New Roman"/>
          <w:i/>
          <w:iCs/>
          <w:color w:val="212121"/>
          <w:sz w:val="24"/>
          <w:szCs w:val="24"/>
          <w:bdr w:val="none" w:sz="0" w:space="0" w:color="auto" w:frame="1"/>
        </w:rPr>
        <w:t>e.g.</w:t>
      </w:r>
      <w:r w:rsidRPr="00A57305">
        <w:rPr>
          <w:rFonts w:ascii="Times New Roman" w:eastAsia="Times New Roman" w:hAnsi="Times New Roman" w:cs="Times New Roman"/>
          <w:color w:val="000000"/>
          <w:sz w:val="24"/>
          <w:szCs w:val="24"/>
        </w:rPr>
        <w:t>, age, low income or disability;</w:t>
      </w:r>
      <w:r w:rsidRPr="00A57305">
        <w:rPr>
          <w:rFonts w:ascii="Times New Roman" w:eastAsia="Times New Roman" w:hAnsi="Times New Roman" w:cs="Times New Roman"/>
          <w:color w:val="212121"/>
          <w:sz w:val="24"/>
          <w:szCs w:val="24"/>
          <w:bdr w:val="none" w:sz="0" w:space="0" w:color="auto" w:frame="1"/>
          <w:vertAlign w:val="superscript"/>
        </w:rPr>
        <w:t>103</w:t>
      </w:r>
      <w:r w:rsidRPr="00A57305">
        <w:rPr>
          <w:rFonts w:ascii="Times New Roman" w:eastAsia="Times New Roman" w:hAnsi="Times New Roman" w:cs="Times New Roman"/>
          <w:color w:val="000000"/>
          <w:sz w:val="24"/>
          <w:szCs w:val="24"/>
        </w:rPr>
        <w:t xml:space="preserve"> and calls that provide information about potential brown-outs due to heavy energy usage.</w:t>
      </w:r>
      <w:r w:rsidRPr="00A57305">
        <w:rPr>
          <w:rStyle w:val="FootnoteReference"/>
          <w:rFonts w:ascii="Times New Roman" w:eastAsia="Times New Roman" w:hAnsi="Times New Roman" w:cs="Times New Roman"/>
          <w:color w:val="000000"/>
          <w:sz w:val="24"/>
          <w:szCs w:val="24"/>
        </w:rPr>
        <w:footnoteReference w:id="12"/>
      </w:r>
    </w:p>
    <w:p w14:paraId="45BAAF0A" w14:textId="77777777" w:rsidR="004159A5" w:rsidRPr="00A57305" w:rsidRDefault="004159A5" w:rsidP="00FD449A">
      <w:pPr>
        <w:shd w:val="clear" w:color="auto" w:fill="FFFFFF"/>
        <w:spacing w:after="0" w:line="240" w:lineRule="auto"/>
        <w:ind w:left="1440" w:right="1440"/>
        <w:jc w:val="both"/>
        <w:rPr>
          <w:rFonts w:ascii="Times New Roman" w:eastAsia="Times New Roman" w:hAnsi="Times New Roman" w:cs="Times New Roman"/>
          <w:color w:val="212121"/>
          <w:sz w:val="24"/>
          <w:szCs w:val="24"/>
        </w:rPr>
      </w:pPr>
      <w:r w:rsidRPr="00A57305">
        <w:rPr>
          <w:rFonts w:ascii="Times New Roman" w:eastAsia="Times New Roman" w:hAnsi="Times New Roman" w:cs="Times New Roman"/>
          <w:color w:val="000000"/>
          <w:sz w:val="24"/>
          <w:szCs w:val="24"/>
        </w:rPr>
        <w:t xml:space="preserve"> </w:t>
      </w:r>
    </w:p>
    <w:p w14:paraId="4A959DA2" w14:textId="3B5C0E58" w:rsidR="006B4D53" w:rsidRPr="00A57305" w:rsidRDefault="004159A5" w:rsidP="004265E4">
      <w:pPr>
        <w:shd w:val="clear" w:color="auto" w:fill="FFFFFF"/>
        <w:spacing w:after="0" w:line="360" w:lineRule="auto"/>
        <w:ind w:right="720"/>
        <w:jc w:val="both"/>
        <w:rPr>
          <w:rFonts w:ascii="Times New Roman" w:eastAsia="Calibri" w:hAnsi="Times New Roman" w:cs="Times New Roman"/>
          <w:color w:val="000000" w:themeColor="text1"/>
          <w:sz w:val="24"/>
          <w:szCs w:val="24"/>
        </w:rPr>
      </w:pPr>
      <w:r w:rsidRPr="00A57305">
        <w:rPr>
          <w:rFonts w:ascii="Times New Roman" w:eastAsia="Times New Roman" w:hAnsi="Times New Roman" w:cs="Times New Roman"/>
          <w:color w:val="212121"/>
          <w:sz w:val="24"/>
          <w:szCs w:val="24"/>
        </w:rPr>
        <w:tab/>
        <w:t>In 2022</w:t>
      </w:r>
      <w:r w:rsidR="00224FC2" w:rsidRPr="00A57305">
        <w:rPr>
          <w:rFonts w:ascii="Times New Roman" w:eastAsia="Times New Roman" w:hAnsi="Times New Roman" w:cs="Times New Roman"/>
          <w:color w:val="212121"/>
          <w:sz w:val="24"/>
          <w:szCs w:val="24"/>
        </w:rPr>
        <w:t>,</w:t>
      </w:r>
      <w:r w:rsidRPr="00A57305">
        <w:rPr>
          <w:rFonts w:ascii="Times New Roman" w:eastAsia="Times New Roman" w:hAnsi="Times New Roman" w:cs="Times New Roman"/>
          <w:color w:val="212121"/>
          <w:sz w:val="24"/>
          <w:szCs w:val="24"/>
        </w:rPr>
        <w:t xml:space="preserve"> the FCC clarified that</w:t>
      </w:r>
      <w:r w:rsidRPr="00A57305">
        <w:rPr>
          <w:rFonts w:ascii="Times New Roman" w:eastAsia="Calibri" w:hAnsi="Times New Roman" w:cs="Times New Roman"/>
          <w:color w:val="000000" w:themeColor="text1"/>
          <w:sz w:val="24"/>
          <w:szCs w:val="24"/>
        </w:rPr>
        <w:t xml:space="preserve"> utility customers providing a landline phone number also provide “prior express consent” to receive the same notifications outlined in the 2016 order.</w:t>
      </w:r>
      <w:r w:rsidRPr="00A57305">
        <w:rPr>
          <w:rFonts w:ascii="Times New Roman" w:eastAsia="Calibri" w:hAnsi="Times New Roman" w:cs="Times New Roman"/>
          <w:color w:val="000000" w:themeColor="text1"/>
          <w:sz w:val="24"/>
          <w:szCs w:val="24"/>
          <w:vertAlign w:val="superscript"/>
        </w:rPr>
        <w:footnoteReference w:id="13"/>
      </w:r>
      <w:r w:rsidRPr="00A57305">
        <w:rPr>
          <w:rFonts w:ascii="Times New Roman" w:eastAsia="Calibri" w:hAnsi="Times New Roman" w:cs="Times New Roman"/>
          <w:color w:val="000000" w:themeColor="text1"/>
          <w:sz w:val="24"/>
          <w:szCs w:val="24"/>
        </w:rPr>
        <w:t xml:space="preserve"> </w:t>
      </w:r>
      <w:r w:rsidR="00D62B82" w:rsidRPr="00A57305">
        <w:rPr>
          <w:rFonts w:ascii="Times New Roman" w:eastAsia="Calibri" w:hAnsi="Times New Roman" w:cs="Times New Roman"/>
          <w:color w:val="000000" w:themeColor="text1"/>
          <w:sz w:val="24"/>
          <w:szCs w:val="24"/>
        </w:rPr>
        <w:t xml:space="preserve"> </w:t>
      </w:r>
    </w:p>
    <w:p w14:paraId="2D5A9D8A" w14:textId="77777777" w:rsidR="008700A6" w:rsidRPr="00A57305" w:rsidRDefault="008700A6" w:rsidP="004265E4">
      <w:pPr>
        <w:shd w:val="clear" w:color="auto" w:fill="FFFFFF"/>
        <w:spacing w:after="0" w:line="360" w:lineRule="auto"/>
        <w:ind w:right="720"/>
        <w:jc w:val="both"/>
        <w:rPr>
          <w:rFonts w:ascii="Times New Roman" w:eastAsia="Calibri" w:hAnsi="Times New Roman" w:cs="Times New Roman"/>
          <w:color w:val="000000" w:themeColor="text1"/>
          <w:sz w:val="24"/>
          <w:szCs w:val="24"/>
        </w:rPr>
      </w:pPr>
    </w:p>
    <w:p w14:paraId="1B605950" w14:textId="1F188C76" w:rsidR="00F60560" w:rsidRPr="00A57305" w:rsidRDefault="00A94B9F" w:rsidP="006B4D53">
      <w:pPr>
        <w:shd w:val="clear" w:color="auto" w:fill="FFFFFF"/>
        <w:spacing w:after="0" w:line="360" w:lineRule="auto"/>
        <w:ind w:right="720" w:firstLine="720"/>
        <w:jc w:val="both"/>
        <w:rPr>
          <w:rFonts w:ascii="Times New Roman" w:eastAsia="Calibri" w:hAnsi="Times New Roman" w:cs="Times New Roman"/>
          <w:color w:val="000000" w:themeColor="text1"/>
          <w:sz w:val="24"/>
          <w:szCs w:val="24"/>
        </w:rPr>
      </w:pPr>
      <w:r w:rsidRPr="00A57305">
        <w:rPr>
          <w:rFonts w:ascii="Times New Roman" w:eastAsia="Calibri" w:hAnsi="Times New Roman" w:cs="Times New Roman"/>
          <w:color w:val="000000" w:themeColor="text1"/>
          <w:sz w:val="24"/>
          <w:szCs w:val="24"/>
        </w:rPr>
        <w:t>However, these clarifications do not apply to demand response programs</w:t>
      </w:r>
      <w:r w:rsidR="003A19F0" w:rsidRPr="00A57305">
        <w:rPr>
          <w:rFonts w:ascii="Times New Roman" w:eastAsia="Calibri" w:hAnsi="Times New Roman" w:cs="Times New Roman"/>
          <w:color w:val="000000" w:themeColor="text1"/>
          <w:sz w:val="24"/>
          <w:szCs w:val="24"/>
        </w:rPr>
        <w:t xml:space="preserve"> as they are related to “energy efficiency programs</w:t>
      </w:r>
      <w:r w:rsidR="00224FC2" w:rsidRPr="00A57305">
        <w:rPr>
          <w:rFonts w:ascii="Times New Roman" w:eastAsia="Calibri" w:hAnsi="Times New Roman" w:cs="Times New Roman"/>
          <w:color w:val="000000" w:themeColor="text1"/>
          <w:sz w:val="24"/>
          <w:szCs w:val="24"/>
        </w:rPr>
        <w:t>,</w:t>
      </w:r>
      <w:r w:rsidR="003A19F0" w:rsidRPr="00A57305">
        <w:rPr>
          <w:rFonts w:ascii="Times New Roman" w:eastAsia="Calibri" w:hAnsi="Times New Roman" w:cs="Times New Roman"/>
          <w:color w:val="000000" w:themeColor="text1"/>
          <w:sz w:val="24"/>
          <w:szCs w:val="24"/>
        </w:rPr>
        <w:t>” a category whic</w:t>
      </w:r>
      <w:r w:rsidR="00B86A0F" w:rsidRPr="00A57305">
        <w:rPr>
          <w:rFonts w:ascii="Times New Roman" w:eastAsia="Calibri" w:hAnsi="Times New Roman" w:cs="Times New Roman"/>
          <w:color w:val="000000" w:themeColor="text1"/>
          <w:sz w:val="24"/>
          <w:szCs w:val="24"/>
        </w:rPr>
        <w:t xml:space="preserve">h </w:t>
      </w:r>
      <w:r w:rsidR="00F60560" w:rsidRPr="00A57305">
        <w:rPr>
          <w:rFonts w:ascii="Times New Roman" w:eastAsia="Calibri" w:hAnsi="Times New Roman" w:cs="Times New Roman"/>
          <w:color w:val="000000" w:themeColor="text1"/>
          <w:sz w:val="24"/>
          <w:szCs w:val="24"/>
        </w:rPr>
        <w:t xml:space="preserve">EEI </w:t>
      </w:r>
      <w:r w:rsidR="00B86A0F" w:rsidRPr="00A57305">
        <w:rPr>
          <w:rFonts w:ascii="Times New Roman" w:eastAsia="Calibri" w:hAnsi="Times New Roman" w:cs="Times New Roman"/>
          <w:color w:val="000000" w:themeColor="text1"/>
          <w:sz w:val="24"/>
          <w:szCs w:val="24"/>
        </w:rPr>
        <w:t xml:space="preserve">removed from the petition that </w:t>
      </w:r>
      <w:r w:rsidR="006E1B50" w:rsidRPr="00A57305">
        <w:rPr>
          <w:rFonts w:ascii="Times New Roman" w:eastAsia="Calibri" w:hAnsi="Times New Roman" w:cs="Times New Roman"/>
          <w:color w:val="000000" w:themeColor="text1"/>
          <w:sz w:val="24"/>
          <w:szCs w:val="24"/>
        </w:rPr>
        <w:t>provided the basis</w:t>
      </w:r>
      <w:r w:rsidR="00B86A0F" w:rsidRPr="00A57305">
        <w:rPr>
          <w:rFonts w:ascii="Times New Roman" w:eastAsia="Calibri" w:hAnsi="Times New Roman" w:cs="Times New Roman"/>
          <w:color w:val="000000" w:themeColor="text1"/>
          <w:sz w:val="24"/>
          <w:szCs w:val="24"/>
        </w:rPr>
        <w:t xml:space="preserve"> for the 2016 ruling.</w:t>
      </w:r>
      <w:r w:rsidR="00A301CC" w:rsidRPr="00A57305">
        <w:rPr>
          <w:rStyle w:val="FootnoteReference"/>
          <w:rFonts w:ascii="Times New Roman" w:eastAsia="Calibri" w:hAnsi="Times New Roman" w:cs="Times New Roman"/>
          <w:color w:val="000000" w:themeColor="text1"/>
          <w:sz w:val="24"/>
          <w:szCs w:val="24"/>
        </w:rPr>
        <w:footnoteReference w:id="14"/>
      </w:r>
    </w:p>
    <w:p w14:paraId="26044041" w14:textId="77777777" w:rsidR="00F60560" w:rsidRPr="00A57305" w:rsidRDefault="00F60560" w:rsidP="006B4D53">
      <w:pPr>
        <w:shd w:val="clear" w:color="auto" w:fill="FFFFFF"/>
        <w:spacing w:after="0" w:line="360" w:lineRule="auto"/>
        <w:ind w:right="720" w:firstLine="720"/>
        <w:jc w:val="both"/>
        <w:rPr>
          <w:rFonts w:ascii="Times New Roman" w:eastAsia="Calibri" w:hAnsi="Times New Roman" w:cs="Times New Roman"/>
          <w:color w:val="000000" w:themeColor="text1"/>
          <w:sz w:val="24"/>
          <w:szCs w:val="24"/>
        </w:rPr>
      </w:pPr>
    </w:p>
    <w:p w14:paraId="5F8FCD33" w14:textId="031FF7AC" w:rsidR="006B4D53" w:rsidRPr="00A57305" w:rsidRDefault="007068AF" w:rsidP="007068AF">
      <w:pPr>
        <w:shd w:val="clear" w:color="auto" w:fill="FFFFFF"/>
        <w:spacing w:after="0" w:line="360" w:lineRule="auto"/>
        <w:ind w:right="720" w:firstLine="720"/>
        <w:jc w:val="both"/>
        <w:rPr>
          <w:rFonts w:ascii="Times New Roman" w:eastAsia="Calibri" w:hAnsi="Times New Roman" w:cs="Times New Roman"/>
          <w:color w:val="000000" w:themeColor="text1"/>
          <w:sz w:val="24"/>
          <w:szCs w:val="24"/>
        </w:rPr>
      </w:pPr>
      <w:r w:rsidRPr="00A57305">
        <w:rPr>
          <w:rFonts w:ascii="Times New Roman" w:eastAsia="Calibri" w:hAnsi="Times New Roman" w:cs="Times New Roman"/>
          <w:color w:val="000000" w:themeColor="text1"/>
          <w:sz w:val="24"/>
          <w:szCs w:val="24"/>
        </w:rPr>
        <w:t xml:space="preserve">EEI’s most recent petition </w:t>
      </w:r>
      <w:r w:rsidR="008A6DA6" w:rsidRPr="00A57305">
        <w:rPr>
          <w:rFonts w:ascii="Times New Roman" w:eastAsia="Calibri" w:hAnsi="Times New Roman" w:cs="Times New Roman"/>
          <w:color w:val="000000" w:themeColor="text1"/>
          <w:sz w:val="24"/>
          <w:szCs w:val="24"/>
        </w:rPr>
        <w:t>provides a detailed rational</w:t>
      </w:r>
      <w:r w:rsidR="005E4B0D" w:rsidRPr="00A57305">
        <w:rPr>
          <w:rFonts w:ascii="Times New Roman" w:eastAsia="Calibri" w:hAnsi="Times New Roman" w:cs="Times New Roman"/>
          <w:color w:val="000000" w:themeColor="text1"/>
          <w:sz w:val="24"/>
          <w:szCs w:val="24"/>
        </w:rPr>
        <w:t>e</w:t>
      </w:r>
      <w:r w:rsidR="008A6DA6" w:rsidRPr="00A57305">
        <w:rPr>
          <w:rFonts w:ascii="Times New Roman" w:eastAsia="Calibri" w:hAnsi="Times New Roman" w:cs="Times New Roman"/>
          <w:color w:val="000000" w:themeColor="text1"/>
          <w:sz w:val="24"/>
          <w:szCs w:val="24"/>
        </w:rPr>
        <w:t xml:space="preserve"> </w:t>
      </w:r>
      <w:r w:rsidR="005E4B0D" w:rsidRPr="00A57305">
        <w:rPr>
          <w:rFonts w:ascii="Times New Roman" w:eastAsia="Calibri" w:hAnsi="Times New Roman" w:cs="Times New Roman"/>
          <w:color w:val="000000" w:themeColor="text1"/>
          <w:sz w:val="24"/>
          <w:szCs w:val="24"/>
        </w:rPr>
        <w:t xml:space="preserve">of why demand response calls should </w:t>
      </w:r>
      <w:r w:rsidRPr="00A57305">
        <w:rPr>
          <w:rFonts w:ascii="Times New Roman" w:eastAsia="Calibri" w:hAnsi="Times New Roman" w:cs="Times New Roman"/>
          <w:color w:val="000000" w:themeColor="text1"/>
          <w:sz w:val="24"/>
          <w:szCs w:val="24"/>
        </w:rPr>
        <w:t xml:space="preserve">now </w:t>
      </w:r>
      <w:r w:rsidR="005E4B0D" w:rsidRPr="00A57305">
        <w:rPr>
          <w:rFonts w:ascii="Times New Roman" w:eastAsia="Calibri" w:hAnsi="Times New Roman" w:cs="Times New Roman"/>
          <w:color w:val="000000" w:themeColor="text1"/>
          <w:sz w:val="24"/>
          <w:szCs w:val="24"/>
        </w:rPr>
        <w:t>qualify for the same treatment.</w:t>
      </w:r>
      <w:r w:rsidR="004265E4" w:rsidRPr="00A57305">
        <w:rPr>
          <w:rFonts w:ascii="Times New Roman" w:eastAsia="Calibri" w:hAnsi="Times New Roman" w:cs="Times New Roman"/>
          <w:color w:val="000000" w:themeColor="text1"/>
          <w:sz w:val="24"/>
          <w:szCs w:val="24"/>
        </w:rPr>
        <w:t xml:space="preserve"> </w:t>
      </w:r>
    </w:p>
    <w:p w14:paraId="231F9033" w14:textId="77777777" w:rsidR="006B4D53" w:rsidRPr="00A57305" w:rsidRDefault="006B4D53" w:rsidP="004265E4">
      <w:pPr>
        <w:shd w:val="clear" w:color="auto" w:fill="FFFFFF"/>
        <w:spacing w:after="0" w:line="360" w:lineRule="auto"/>
        <w:ind w:right="720"/>
        <w:jc w:val="both"/>
        <w:rPr>
          <w:rFonts w:ascii="Times New Roman" w:eastAsia="Calibri" w:hAnsi="Times New Roman" w:cs="Times New Roman"/>
          <w:color w:val="000000" w:themeColor="text1"/>
          <w:sz w:val="24"/>
          <w:szCs w:val="24"/>
        </w:rPr>
      </w:pPr>
    </w:p>
    <w:p w14:paraId="6ACC88CD" w14:textId="11722D95" w:rsidR="005A7623" w:rsidRPr="00A57305" w:rsidRDefault="005A7623" w:rsidP="005A7623">
      <w:pPr>
        <w:spacing w:after="0" w:line="360" w:lineRule="auto"/>
        <w:jc w:val="center"/>
        <w:rPr>
          <w:rFonts w:ascii="Times New Roman" w:hAnsi="Times New Roman" w:cs="Times New Roman"/>
          <w:b/>
          <w:bCs/>
          <w:iCs/>
          <w:smallCaps/>
          <w:sz w:val="32"/>
          <w:szCs w:val="32"/>
        </w:rPr>
      </w:pPr>
      <w:r w:rsidRPr="00A57305">
        <w:rPr>
          <w:rFonts w:ascii="Times New Roman" w:hAnsi="Times New Roman" w:cs="Times New Roman"/>
          <w:b/>
          <w:bCs/>
          <w:iCs/>
          <w:smallCaps/>
          <w:sz w:val="32"/>
          <w:szCs w:val="32"/>
        </w:rPr>
        <w:t>Discussion</w:t>
      </w:r>
    </w:p>
    <w:p w14:paraId="3EAAB1D5" w14:textId="65F02354" w:rsidR="00182332" w:rsidRPr="00A57305" w:rsidRDefault="00CB0A5E" w:rsidP="00FD449A">
      <w:pPr>
        <w:spacing w:after="0" w:line="360" w:lineRule="auto"/>
        <w:ind w:firstLine="720"/>
        <w:jc w:val="both"/>
        <w:rPr>
          <w:rFonts w:ascii="Times New Roman" w:hAnsi="Times New Roman" w:cs="Times New Roman"/>
          <w:sz w:val="24"/>
          <w:szCs w:val="24"/>
        </w:rPr>
      </w:pPr>
      <w:r w:rsidRPr="00A57305">
        <w:rPr>
          <w:rFonts w:ascii="Times New Roman" w:hAnsi="Times New Roman" w:cs="Times New Roman"/>
          <w:sz w:val="24"/>
          <w:szCs w:val="24"/>
        </w:rPr>
        <w:t xml:space="preserve">As noted, </w:t>
      </w:r>
      <w:r w:rsidRPr="00A57305">
        <w:rPr>
          <w:rFonts w:ascii="Times New Roman" w:hAnsi="Times New Roman" w:cs="Times New Roman"/>
          <w:i/>
          <w:iCs/>
          <w:sz w:val="24"/>
          <w:szCs w:val="24"/>
        </w:rPr>
        <w:t>supra,</w:t>
      </w:r>
      <w:r w:rsidRPr="00A57305">
        <w:rPr>
          <w:rFonts w:ascii="Times New Roman" w:hAnsi="Times New Roman" w:cs="Times New Roman"/>
          <w:sz w:val="24"/>
          <w:szCs w:val="24"/>
        </w:rPr>
        <w:t xml:space="preserve"> </w:t>
      </w:r>
      <w:r w:rsidR="003917D4" w:rsidRPr="00A57305">
        <w:rPr>
          <w:rFonts w:ascii="Times New Roman" w:hAnsi="Times New Roman" w:cs="Times New Roman"/>
          <w:sz w:val="24"/>
          <w:szCs w:val="24"/>
        </w:rPr>
        <w:t xml:space="preserve">NARUC is a bipartisan organization </w:t>
      </w:r>
      <w:r w:rsidR="00CA3D37" w:rsidRPr="00A57305">
        <w:rPr>
          <w:rFonts w:ascii="Times New Roman" w:hAnsi="Times New Roman" w:cs="Times New Roman"/>
          <w:sz w:val="24"/>
          <w:szCs w:val="24"/>
        </w:rPr>
        <w:t>o</w:t>
      </w:r>
      <w:r w:rsidR="003917D4" w:rsidRPr="00A57305">
        <w:rPr>
          <w:rFonts w:ascii="Times New Roman" w:hAnsi="Times New Roman" w:cs="Times New Roman"/>
          <w:sz w:val="24"/>
          <w:szCs w:val="24"/>
        </w:rPr>
        <w:t xml:space="preserve">f </w:t>
      </w:r>
      <w:r w:rsidR="00831CEB" w:rsidRPr="00A57305">
        <w:rPr>
          <w:rFonts w:ascii="Times New Roman" w:hAnsi="Times New Roman" w:cs="Times New Roman"/>
          <w:sz w:val="24"/>
          <w:szCs w:val="24"/>
        </w:rPr>
        <w:t>regulators that oversee both the telecommunications and energy</w:t>
      </w:r>
      <w:r w:rsidR="00492E13" w:rsidRPr="00A57305">
        <w:rPr>
          <w:rFonts w:ascii="Times New Roman" w:hAnsi="Times New Roman" w:cs="Times New Roman"/>
          <w:sz w:val="24"/>
          <w:szCs w:val="24"/>
        </w:rPr>
        <w:t xml:space="preserve"> utilities</w:t>
      </w:r>
      <w:r w:rsidR="00831CEB" w:rsidRPr="00A57305">
        <w:rPr>
          <w:rFonts w:ascii="Times New Roman" w:hAnsi="Times New Roman" w:cs="Times New Roman"/>
          <w:sz w:val="24"/>
          <w:szCs w:val="24"/>
        </w:rPr>
        <w:t xml:space="preserve">. Like the FCC, our </w:t>
      </w:r>
      <w:r w:rsidR="000B0090" w:rsidRPr="00A57305">
        <w:rPr>
          <w:rFonts w:ascii="Times New Roman" w:hAnsi="Times New Roman" w:cs="Times New Roman"/>
          <w:sz w:val="24"/>
          <w:szCs w:val="24"/>
        </w:rPr>
        <w:t>members</w:t>
      </w:r>
      <w:r w:rsidR="00831CEB" w:rsidRPr="00A57305">
        <w:rPr>
          <w:rFonts w:ascii="Times New Roman" w:hAnsi="Times New Roman" w:cs="Times New Roman"/>
          <w:sz w:val="24"/>
          <w:szCs w:val="24"/>
        </w:rPr>
        <w:t xml:space="preserve"> </w:t>
      </w:r>
      <w:r w:rsidR="00E55E60" w:rsidRPr="00A57305">
        <w:rPr>
          <w:rFonts w:ascii="Times New Roman" w:hAnsi="Times New Roman" w:cs="Times New Roman"/>
          <w:sz w:val="24"/>
          <w:szCs w:val="24"/>
        </w:rPr>
        <w:t>are required by statute to</w:t>
      </w:r>
      <w:r w:rsidR="00831CEB" w:rsidRPr="00A57305">
        <w:rPr>
          <w:rFonts w:ascii="Times New Roman" w:hAnsi="Times New Roman" w:cs="Times New Roman"/>
          <w:sz w:val="24"/>
          <w:szCs w:val="24"/>
        </w:rPr>
        <w:t xml:space="preserve"> act in </w:t>
      </w:r>
      <w:proofErr w:type="gramStart"/>
      <w:r w:rsidR="00831CEB" w:rsidRPr="00A57305">
        <w:rPr>
          <w:rFonts w:ascii="Times New Roman" w:hAnsi="Times New Roman" w:cs="Times New Roman"/>
          <w:sz w:val="24"/>
          <w:szCs w:val="24"/>
        </w:rPr>
        <w:t>the</w:t>
      </w:r>
      <w:r w:rsidR="007A1478" w:rsidRPr="00A57305">
        <w:rPr>
          <w:rFonts w:ascii="Times New Roman" w:hAnsi="Times New Roman" w:cs="Times New Roman"/>
          <w:sz w:val="24"/>
          <w:szCs w:val="24"/>
        </w:rPr>
        <w:t xml:space="preserve"> </w:t>
      </w:r>
      <w:r w:rsidR="00831CEB" w:rsidRPr="00A57305">
        <w:rPr>
          <w:rFonts w:ascii="Times New Roman" w:hAnsi="Times New Roman" w:cs="Times New Roman"/>
          <w:sz w:val="24"/>
          <w:szCs w:val="24"/>
        </w:rPr>
        <w:t>public</w:t>
      </w:r>
      <w:proofErr w:type="gramEnd"/>
      <w:r w:rsidR="00831CEB" w:rsidRPr="00A57305">
        <w:rPr>
          <w:rFonts w:ascii="Times New Roman" w:hAnsi="Times New Roman" w:cs="Times New Roman"/>
          <w:sz w:val="24"/>
          <w:szCs w:val="24"/>
        </w:rPr>
        <w:t xml:space="preserve"> interest.</w:t>
      </w:r>
      <w:r w:rsidR="00CA3D37" w:rsidRPr="00A57305">
        <w:rPr>
          <w:rFonts w:ascii="Times New Roman" w:hAnsi="Times New Roman" w:cs="Times New Roman"/>
          <w:sz w:val="24"/>
          <w:szCs w:val="24"/>
        </w:rPr>
        <w:t xml:space="preserve"> </w:t>
      </w:r>
      <w:r w:rsidR="007A1478" w:rsidRPr="00A57305">
        <w:rPr>
          <w:rFonts w:ascii="Times New Roman" w:hAnsi="Times New Roman" w:cs="Times New Roman"/>
          <w:sz w:val="24"/>
          <w:szCs w:val="24"/>
        </w:rPr>
        <w:t>O</w:t>
      </w:r>
      <w:r w:rsidR="00DF32E4" w:rsidRPr="00A57305">
        <w:rPr>
          <w:rFonts w:ascii="Times New Roman" w:hAnsi="Times New Roman" w:cs="Times New Roman"/>
          <w:sz w:val="24"/>
          <w:szCs w:val="24"/>
        </w:rPr>
        <w:t xml:space="preserve">ur members </w:t>
      </w:r>
      <w:r w:rsidR="002024B7" w:rsidRPr="00A57305">
        <w:rPr>
          <w:rFonts w:ascii="Times New Roman" w:hAnsi="Times New Roman" w:cs="Times New Roman"/>
          <w:sz w:val="24"/>
          <w:szCs w:val="24"/>
        </w:rPr>
        <w:t xml:space="preserve">also </w:t>
      </w:r>
      <w:r w:rsidR="00DF32E4" w:rsidRPr="00A57305">
        <w:rPr>
          <w:rFonts w:ascii="Times New Roman" w:hAnsi="Times New Roman" w:cs="Times New Roman"/>
          <w:sz w:val="24"/>
          <w:szCs w:val="24"/>
        </w:rPr>
        <w:t xml:space="preserve">have </w:t>
      </w:r>
      <w:r w:rsidR="00202304" w:rsidRPr="00A57305">
        <w:rPr>
          <w:rFonts w:ascii="Times New Roman" w:hAnsi="Times New Roman" w:cs="Times New Roman"/>
          <w:sz w:val="24"/>
          <w:szCs w:val="24"/>
        </w:rPr>
        <w:t xml:space="preserve">specialized knowledge about the current state of </w:t>
      </w:r>
      <w:r w:rsidR="0008620E" w:rsidRPr="00A57305">
        <w:rPr>
          <w:rFonts w:ascii="Times New Roman" w:hAnsi="Times New Roman" w:cs="Times New Roman"/>
          <w:sz w:val="24"/>
          <w:szCs w:val="24"/>
        </w:rPr>
        <w:t xml:space="preserve">energy markets in the United States and the critical role demand response plays </w:t>
      </w:r>
      <w:r w:rsidR="0024147C" w:rsidRPr="00A57305">
        <w:rPr>
          <w:rFonts w:ascii="Times New Roman" w:hAnsi="Times New Roman" w:cs="Times New Roman"/>
          <w:sz w:val="24"/>
          <w:szCs w:val="24"/>
        </w:rPr>
        <w:t xml:space="preserve">in those market to </w:t>
      </w:r>
      <w:r w:rsidR="000B0090" w:rsidRPr="00A57305">
        <w:rPr>
          <w:rFonts w:ascii="Times New Roman" w:hAnsi="Times New Roman" w:cs="Times New Roman"/>
          <w:sz w:val="24"/>
          <w:szCs w:val="24"/>
        </w:rPr>
        <w:t>ensure</w:t>
      </w:r>
      <w:r w:rsidR="0024147C" w:rsidRPr="00A57305">
        <w:rPr>
          <w:rFonts w:ascii="Times New Roman" w:hAnsi="Times New Roman" w:cs="Times New Roman"/>
          <w:sz w:val="24"/>
          <w:szCs w:val="24"/>
        </w:rPr>
        <w:t xml:space="preserve"> reliability and </w:t>
      </w:r>
      <w:r w:rsidR="00E61EA2" w:rsidRPr="00A57305">
        <w:rPr>
          <w:rFonts w:ascii="Times New Roman" w:hAnsi="Times New Roman" w:cs="Times New Roman"/>
          <w:sz w:val="24"/>
          <w:szCs w:val="24"/>
        </w:rPr>
        <w:t>keep rates affordable.</w:t>
      </w:r>
    </w:p>
    <w:p w14:paraId="5F598704" w14:textId="77777777" w:rsidR="005A7623" w:rsidRPr="00A57305" w:rsidRDefault="005A7623" w:rsidP="00FD449A">
      <w:pPr>
        <w:spacing w:after="0" w:line="360" w:lineRule="auto"/>
        <w:ind w:firstLine="720"/>
        <w:jc w:val="both"/>
        <w:rPr>
          <w:rFonts w:ascii="Times New Roman" w:hAnsi="Times New Roman" w:cs="Times New Roman"/>
          <w:i/>
          <w:iCs/>
          <w:sz w:val="24"/>
          <w:szCs w:val="24"/>
        </w:rPr>
      </w:pPr>
    </w:p>
    <w:p w14:paraId="337AA341" w14:textId="7ABFE59A" w:rsidR="009C360A" w:rsidRPr="00A57305" w:rsidRDefault="000773C2" w:rsidP="00FD449A">
      <w:pPr>
        <w:spacing w:after="0" w:line="360" w:lineRule="auto"/>
        <w:ind w:firstLine="720"/>
        <w:jc w:val="both"/>
        <w:rPr>
          <w:rFonts w:ascii="Times New Roman" w:eastAsia="Calibri" w:hAnsi="Times New Roman" w:cs="Times New Roman"/>
          <w:bCs/>
          <w:color w:val="000000"/>
          <w:sz w:val="24"/>
          <w:szCs w:val="24"/>
        </w:rPr>
      </w:pPr>
      <w:r w:rsidRPr="00A57305">
        <w:rPr>
          <w:rFonts w:ascii="Times New Roman" w:hAnsi="Times New Roman" w:cs="Times New Roman"/>
          <w:sz w:val="24"/>
          <w:szCs w:val="24"/>
        </w:rPr>
        <w:lastRenderedPageBreak/>
        <w:t>T</w:t>
      </w:r>
      <w:r w:rsidR="00831CEB" w:rsidRPr="00A57305">
        <w:rPr>
          <w:rFonts w:ascii="Times New Roman" w:hAnsi="Times New Roman" w:cs="Times New Roman"/>
          <w:sz w:val="24"/>
          <w:szCs w:val="24"/>
        </w:rPr>
        <w:t xml:space="preserve">here is no </w:t>
      </w:r>
      <w:r w:rsidR="00535474" w:rsidRPr="00A57305">
        <w:rPr>
          <w:rFonts w:ascii="Times New Roman" w:hAnsi="Times New Roman" w:cs="Times New Roman"/>
          <w:sz w:val="24"/>
          <w:szCs w:val="24"/>
        </w:rPr>
        <w:t>question</w:t>
      </w:r>
      <w:r w:rsidR="00831CEB" w:rsidRPr="00A57305">
        <w:rPr>
          <w:rFonts w:ascii="Times New Roman" w:hAnsi="Times New Roman" w:cs="Times New Roman"/>
          <w:sz w:val="24"/>
          <w:szCs w:val="24"/>
        </w:rPr>
        <w:t xml:space="preserve"> that the country’s </w:t>
      </w:r>
      <w:r w:rsidR="007A1478" w:rsidRPr="00A57305">
        <w:rPr>
          <w:rFonts w:ascii="Times New Roman" w:hAnsi="Times New Roman" w:cs="Times New Roman"/>
          <w:sz w:val="24"/>
          <w:szCs w:val="24"/>
        </w:rPr>
        <w:t>electric grid</w:t>
      </w:r>
      <w:r w:rsidR="00831CEB" w:rsidRPr="00A57305">
        <w:rPr>
          <w:rFonts w:ascii="Times New Roman" w:hAnsi="Times New Roman" w:cs="Times New Roman"/>
          <w:sz w:val="24"/>
          <w:szCs w:val="24"/>
        </w:rPr>
        <w:t xml:space="preserve"> is under strain</w:t>
      </w:r>
      <w:r w:rsidR="0014287C" w:rsidRPr="00A57305">
        <w:rPr>
          <w:rFonts w:ascii="Times New Roman" w:hAnsi="Times New Roman" w:cs="Times New Roman"/>
          <w:sz w:val="24"/>
          <w:szCs w:val="24"/>
        </w:rPr>
        <w:t xml:space="preserve"> and that reliability and addressing unanticipated increased demands for power</w:t>
      </w:r>
      <w:r w:rsidR="005B3F3E" w:rsidRPr="00A57305">
        <w:rPr>
          <w:rFonts w:ascii="Times New Roman" w:hAnsi="Times New Roman" w:cs="Times New Roman"/>
          <w:sz w:val="24"/>
          <w:szCs w:val="24"/>
        </w:rPr>
        <w:t xml:space="preserve"> is front and center for both state and federal regulators</w:t>
      </w:r>
      <w:r w:rsidR="00831CEB" w:rsidRPr="00A57305">
        <w:rPr>
          <w:rFonts w:ascii="Times New Roman" w:hAnsi="Times New Roman" w:cs="Times New Roman"/>
          <w:sz w:val="24"/>
          <w:szCs w:val="24"/>
        </w:rPr>
        <w:t>.</w:t>
      </w:r>
      <w:r w:rsidR="00F74C8B" w:rsidRPr="00A57305">
        <w:rPr>
          <w:rStyle w:val="FootnoteReference"/>
          <w:rFonts w:ascii="Times New Roman" w:hAnsi="Times New Roman" w:cs="Times New Roman"/>
          <w:sz w:val="24"/>
          <w:szCs w:val="24"/>
        </w:rPr>
        <w:footnoteReference w:id="15"/>
      </w:r>
      <w:r w:rsidR="00182332" w:rsidRPr="00A57305">
        <w:rPr>
          <w:rFonts w:ascii="Times New Roman" w:eastAsia="Calibri" w:hAnsi="Times New Roman" w:cs="Times New Roman"/>
          <w:bCs/>
          <w:color w:val="000000"/>
          <w:sz w:val="24"/>
          <w:szCs w:val="24"/>
        </w:rPr>
        <w:t xml:space="preserve">  </w:t>
      </w:r>
    </w:p>
    <w:p w14:paraId="1CE8F616" w14:textId="77777777" w:rsidR="005A7623" w:rsidRPr="00A57305" w:rsidRDefault="005A7623" w:rsidP="00FD449A">
      <w:pPr>
        <w:spacing w:after="0" w:line="360" w:lineRule="auto"/>
        <w:ind w:firstLine="720"/>
        <w:jc w:val="both"/>
        <w:rPr>
          <w:rFonts w:ascii="Times New Roman" w:eastAsia="Calibri" w:hAnsi="Times New Roman" w:cs="Times New Roman"/>
          <w:bCs/>
          <w:color w:val="000000"/>
          <w:sz w:val="24"/>
          <w:szCs w:val="24"/>
        </w:rPr>
      </w:pPr>
    </w:p>
    <w:p w14:paraId="472CD994" w14:textId="135F86BB" w:rsidR="006D0554" w:rsidRPr="00A57305" w:rsidRDefault="00182332" w:rsidP="00FD449A">
      <w:pPr>
        <w:spacing w:after="0" w:line="360" w:lineRule="auto"/>
        <w:ind w:firstLine="720"/>
        <w:jc w:val="both"/>
        <w:rPr>
          <w:rFonts w:ascii="Times New Roman" w:eastAsia="Calibri" w:hAnsi="Times New Roman" w:cs="Times New Roman"/>
          <w:bCs/>
          <w:color w:val="000000"/>
          <w:sz w:val="24"/>
          <w:szCs w:val="24"/>
        </w:rPr>
      </w:pPr>
      <w:r w:rsidRPr="00A57305">
        <w:rPr>
          <w:rFonts w:ascii="Times New Roman" w:eastAsia="Calibri" w:hAnsi="Times New Roman" w:cs="Times New Roman"/>
          <w:bCs/>
          <w:color w:val="000000"/>
          <w:sz w:val="24"/>
          <w:szCs w:val="24"/>
        </w:rPr>
        <w:t>In December 2024, the North American Electric Reliability Corporation (“NERC”)</w:t>
      </w:r>
      <w:r w:rsidR="00A40652" w:rsidRPr="00A57305">
        <w:rPr>
          <w:rFonts w:ascii="Times New Roman" w:eastAsia="Calibri" w:hAnsi="Times New Roman" w:cs="Times New Roman"/>
          <w:bCs/>
          <w:color w:val="000000"/>
          <w:sz w:val="24"/>
          <w:szCs w:val="24"/>
        </w:rPr>
        <w:t xml:space="preserve"> </w:t>
      </w:r>
      <w:r w:rsidRPr="00A57305">
        <w:rPr>
          <w:rFonts w:ascii="Times New Roman" w:eastAsia="Calibri" w:hAnsi="Times New Roman" w:cs="Times New Roman"/>
          <w:bCs/>
          <w:color w:val="000000"/>
          <w:sz w:val="24"/>
          <w:szCs w:val="24"/>
        </w:rPr>
        <w:t>project</w:t>
      </w:r>
      <w:r w:rsidR="0068199C" w:rsidRPr="00A57305">
        <w:rPr>
          <w:rFonts w:ascii="Times New Roman" w:eastAsia="Calibri" w:hAnsi="Times New Roman" w:cs="Times New Roman"/>
          <w:bCs/>
          <w:color w:val="000000"/>
          <w:sz w:val="24"/>
          <w:szCs w:val="24"/>
        </w:rPr>
        <w:t>ed</w:t>
      </w:r>
      <w:r w:rsidRPr="00A57305">
        <w:rPr>
          <w:rFonts w:ascii="Times New Roman" w:eastAsia="Calibri" w:hAnsi="Times New Roman" w:cs="Times New Roman"/>
          <w:bCs/>
          <w:color w:val="000000"/>
          <w:sz w:val="24"/>
          <w:szCs w:val="24"/>
        </w:rPr>
        <w:t xml:space="preserve"> that peak electricity demand will grow by 132 </w:t>
      </w:r>
      <w:r w:rsidR="00224FC2" w:rsidRPr="00A57305">
        <w:rPr>
          <w:rFonts w:ascii="Times New Roman" w:eastAsia="Calibri" w:hAnsi="Times New Roman" w:cs="Times New Roman"/>
          <w:bCs/>
          <w:color w:val="000000"/>
          <w:sz w:val="24"/>
          <w:szCs w:val="24"/>
        </w:rPr>
        <w:t>Gigawatts</w:t>
      </w:r>
      <w:r w:rsidR="00A40652" w:rsidRPr="00A57305">
        <w:rPr>
          <w:rFonts w:ascii="Times New Roman" w:eastAsia="Calibri" w:hAnsi="Times New Roman" w:cs="Times New Roman"/>
          <w:bCs/>
          <w:color w:val="000000"/>
          <w:sz w:val="24"/>
          <w:szCs w:val="24"/>
        </w:rPr>
        <w:t xml:space="preserve"> (“G</w:t>
      </w:r>
      <w:r w:rsidRPr="00A57305">
        <w:rPr>
          <w:rFonts w:ascii="Times New Roman" w:eastAsia="Calibri" w:hAnsi="Times New Roman" w:cs="Times New Roman"/>
          <w:bCs/>
          <w:color w:val="000000"/>
          <w:sz w:val="24"/>
          <w:szCs w:val="24"/>
        </w:rPr>
        <w:t>W</w:t>
      </w:r>
      <w:r w:rsidR="00A40652" w:rsidRPr="00A57305">
        <w:rPr>
          <w:rFonts w:ascii="Times New Roman" w:eastAsia="Calibri" w:hAnsi="Times New Roman" w:cs="Times New Roman"/>
          <w:bCs/>
          <w:color w:val="000000"/>
          <w:sz w:val="24"/>
          <w:szCs w:val="24"/>
        </w:rPr>
        <w:t>”)</w:t>
      </w:r>
      <w:r w:rsidRPr="00A57305">
        <w:rPr>
          <w:rFonts w:ascii="Times New Roman" w:eastAsia="Calibri" w:hAnsi="Times New Roman" w:cs="Times New Roman"/>
          <w:bCs/>
          <w:color w:val="000000"/>
          <w:sz w:val="24"/>
          <w:szCs w:val="24"/>
        </w:rPr>
        <w:t xml:space="preserve"> during the next decade (up from 80</w:t>
      </w:r>
      <w:r w:rsidR="00A40652" w:rsidRPr="00A57305">
        <w:rPr>
          <w:rFonts w:ascii="Times New Roman" w:eastAsia="Calibri" w:hAnsi="Times New Roman" w:cs="Times New Roman"/>
          <w:bCs/>
          <w:color w:val="000000"/>
          <w:sz w:val="24"/>
          <w:szCs w:val="24"/>
        </w:rPr>
        <w:t xml:space="preserve"> </w:t>
      </w:r>
      <w:r w:rsidRPr="00A57305">
        <w:rPr>
          <w:rFonts w:ascii="Times New Roman" w:eastAsia="Calibri" w:hAnsi="Times New Roman" w:cs="Times New Roman"/>
          <w:bCs/>
          <w:color w:val="000000"/>
          <w:sz w:val="24"/>
          <w:szCs w:val="24"/>
        </w:rPr>
        <w:t>GW projected in the 2023 assessment).</w:t>
      </w:r>
      <w:r w:rsidR="0068199C" w:rsidRPr="00A57305">
        <w:rPr>
          <w:rStyle w:val="FootnoteReference"/>
          <w:rFonts w:ascii="Times New Roman" w:eastAsia="Calibri" w:hAnsi="Times New Roman" w:cs="Times New Roman"/>
          <w:bCs/>
          <w:color w:val="000000"/>
          <w:sz w:val="24"/>
          <w:szCs w:val="24"/>
        </w:rPr>
        <w:footnoteReference w:id="16"/>
      </w:r>
      <w:r w:rsidRPr="00A57305">
        <w:rPr>
          <w:rFonts w:ascii="Times New Roman" w:eastAsia="Calibri" w:hAnsi="Times New Roman" w:cs="Times New Roman"/>
          <w:bCs/>
          <w:color w:val="000000"/>
          <w:sz w:val="24"/>
          <w:szCs w:val="24"/>
          <w:vertAlign w:val="superscript"/>
        </w:rPr>
        <w:t xml:space="preserve"> </w:t>
      </w:r>
      <w:r w:rsidR="002024B7" w:rsidRPr="00A57305">
        <w:rPr>
          <w:rFonts w:ascii="Times New Roman" w:eastAsia="Calibri" w:hAnsi="Times New Roman" w:cs="Times New Roman"/>
          <w:bCs/>
          <w:color w:val="000000"/>
          <w:sz w:val="24"/>
          <w:szCs w:val="24"/>
        </w:rPr>
        <w:t>NERC emphasized</w:t>
      </w:r>
      <w:r w:rsidRPr="00A57305">
        <w:rPr>
          <w:rFonts w:ascii="Times New Roman" w:eastAsia="Calibri" w:hAnsi="Times New Roman" w:cs="Times New Roman"/>
          <w:bCs/>
          <w:color w:val="000000"/>
          <w:sz w:val="24"/>
          <w:szCs w:val="24"/>
        </w:rPr>
        <w:t xml:space="preserve"> that </w:t>
      </w:r>
    </w:p>
    <w:p w14:paraId="0CB2563F" w14:textId="77777777" w:rsidR="006D0554" w:rsidRPr="00A57305" w:rsidRDefault="006D0554" w:rsidP="00FD449A">
      <w:pPr>
        <w:spacing w:after="0" w:line="360" w:lineRule="auto"/>
        <w:ind w:firstLine="720"/>
        <w:jc w:val="both"/>
        <w:rPr>
          <w:rFonts w:ascii="Times New Roman" w:eastAsia="Calibri" w:hAnsi="Times New Roman" w:cs="Times New Roman"/>
          <w:bCs/>
          <w:color w:val="000000"/>
          <w:sz w:val="24"/>
          <w:szCs w:val="24"/>
        </w:rPr>
      </w:pPr>
    </w:p>
    <w:p w14:paraId="07B9532F" w14:textId="3C3782B4" w:rsidR="006D0554" w:rsidRPr="00A57305" w:rsidRDefault="00182332" w:rsidP="006D0554">
      <w:pPr>
        <w:spacing w:after="0" w:line="240" w:lineRule="auto"/>
        <w:ind w:left="720" w:right="720"/>
        <w:jc w:val="both"/>
        <w:rPr>
          <w:rFonts w:ascii="Times New Roman" w:eastAsia="Calibri" w:hAnsi="Times New Roman" w:cs="Times New Roman"/>
          <w:bCs/>
          <w:color w:val="000000"/>
          <w:sz w:val="24"/>
          <w:szCs w:val="24"/>
        </w:rPr>
      </w:pPr>
      <w:r w:rsidRPr="00A57305">
        <w:rPr>
          <w:rFonts w:ascii="Times New Roman" w:eastAsia="Calibri" w:hAnsi="Times New Roman" w:cs="Times New Roman"/>
          <w:bCs/>
          <w:color w:val="000000"/>
          <w:sz w:val="24"/>
          <w:szCs w:val="24"/>
        </w:rPr>
        <w:t>demand growth is now</w:t>
      </w:r>
      <w:r w:rsidR="007721FC" w:rsidRPr="00A57305">
        <w:rPr>
          <w:rFonts w:ascii="Times New Roman" w:eastAsia="Calibri" w:hAnsi="Times New Roman" w:cs="Times New Roman"/>
          <w:bCs/>
          <w:color w:val="000000"/>
          <w:sz w:val="24"/>
          <w:szCs w:val="24"/>
        </w:rPr>
        <w:t xml:space="preserve"> </w:t>
      </w:r>
      <w:r w:rsidRPr="00A57305">
        <w:rPr>
          <w:rFonts w:ascii="Times New Roman" w:eastAsia="Calibri" w:hAnsi="Times New Roman" w:cs="Times New Roman"/>
          <w:bCs/>
          <w:color w:val="000000"/>
          <w:sz w:val="24"/>
          <w:szCs w:val="24"/>
        </w:rPr>
        <w:t>higher than at any point in the past two decades. Increasing amounts of large commercial and</w:t>
      </w:r>
      <w:r w:rsidR="007721FC" w:rsidRPr="00A57305">
        <w:rPr>
          <w:rFonts w:ascii="Times New Roman" w:eastAsia="Calibri" w:hAnsi="Times New Roman" w:cs="Times New Roman"/>
          <w:bCs/>
          <w:color w:val="000000"/>
          <w:sz w:val="24"/>
          <w:szCs w:val="24"/>
        </w:rPr>
        <w:t xml:space="preserve"> </w:t>
      </w:r>
      <w:r w:rsidRPr="00A57305">
        <w:rPr>
          <w:rFonts w:ascii="Times New Roman" w:eastAsia="Calibri" w:hAnsi="Times New Roman" w:cs="Times New Roman"/>
          <w:bCs/>
          <w:color w:val="000000"/>
          <w:sz w:val="24"/>
          <w:szCs w:val="24"/>
        </w:rPr>
        <w:t>industrial loads are connecting rapidly to the [bulk power system]. The size and speed with which</w:t>
      </w:r>
      <w:r w:rsidR="007721FC" w:rsidRPr="00A57305">
        <w:rPr>
          <w:rFonts w:ascii="Times New Roman" w:eastAsia="Calibri" w:hAnsi="Times New Roman" w:cs="Times New Roman"/>
          <w:bCs/>
          <w:color w:val="000000"/>
          <w:sz w:val="24"/>
          <w:szCs w:val="24"/>
        </w:rPr>
        <w:t xml:space="preserve"> </w:t>
      </w:r>
      <w:r w:rsidRPr="00A57305">
        <w:rPr>
          <w:rFonts w:ascii="Times New Roman" w:eastAsia="Calibri" w:hAnsi="Times New Roman" w:cs="Times New Roman"/>
          <w:bCs/>
          <w:color w:val="000000"/>
          <w:sz w:val="24"/>
          <w:szCs w:val="24"/>
        </w:rPr>
        <w:t>data centers</w:t>
      </w:r>
      <w:r w:rsidR="007D1F4E" w:rsidRPr="00A57305">
        <w:rPr>
          <w:rFonts w:ascii="Times New Roman" w:eastAsia="Calibri" w:hAnsi="Times New Roman" w:cs="Times New Roman"/>
          <w:bCs/>
          <w:color w:val="000000"/>
          <w:sz w:val="24"/>
          <w:szCs w:val="24"/>
        </w:rPr>
        <w:t xml:space="preserve"> . . .</w:t>
      </w:r>
      <w:r w:rsidRPr="00A57305">
        <w:rPr>
          <w:rFonts w:ascii="Times New Roman" w:eastAsia="Calibri" w:hAnsi="Times New Roman" w:cs="Times New Roman"/>
          <w:bCs/>
          <w:color w:val="000000"/>
          <w:sz w:val="24"/>
          <w:szCs w:val="24"/>
        </w:rPr>
        <w:t xml:space="preserve"> can be constructed and </w:t>
      </w:r>
      <w:proofErr w:type="gramStart"/>
      <w:r w:rsidRPr="00A57305">
        <w:rPr>
          <w:rFonts w:ascii="Times New Roman" w:eastAsia="Calibri" w:hAnsi="Times New Roman" w:cs="Times New Roman"/>
          <w:bCs/>
          <w:color w:val="000000"/>
          <w:sz w:val="24"/>
          <w:szCs w:val="24"/>
        </w:rPr>
        <w:t>connect</w:t>
      </w:r>
      <w:proofErr w:type="gramEnd"/>
      <w:r w:rsidRPr="00A57305">
        <w:rPr>
          <w:rFonts w:ascii="Times New Roman" w:eastAsia="Calibri" w:hAnsi="Times New Roman" w:cs="Times New Roman"/>
          <w:bCs/>
          <w:color w:val="000000"/>
          <w:sz w:val="24"/>
          <w:szCs w:val="24"/>
        </w:rPr>
        <w:t xml:space="preserve"> to the grid present</w:t>
      </w:r>
      <w:r w:rsidR="007D1F4E" w:rsidRPr="00A57305">
        <w:rPr>
          <w:rFonts w:ascii="Times New Roman" w:eastAsia="Calibri" w:hAnsi="Times New Roman" w:cs="Times New Roman"/>
          <w:bCs/>
          <w:color w:val="000000"/>
          <w:sz w:val="24"/>
          <w:szCs w:val="24"/>
        </w:rPr>
        <w:t>s</w:t>
      </w:r>
      <w:r w:rsidRPr="00A57305">
        <w:rPr>
          <w:rFonts w:ascii="Times New Roman" w:eastAsia="Calibri" w:hAnsi="Times New Roman" w:cs="Times New Roman"/>
          <w:bCs/>
          <w:color w:val="000000"/>
          <w:sz w:val="24"/>
          <w:szCs w:val="24"/>
        </w:rPr>
        <w:t xml:space="preserve"> unique</w:t>
      </w:r>
      <w:r w:rsidR="007721FC" w:rsidRPr="00A57305">
        <w:rPr>
          <w:rFonts w:ascii="Times New Roman" w:eastAsia="Calibri" w:hAnsi="Times New Roman" w:cs="Times New Roman"/>
          <w:bCs/>
          <w:color w:val="000000"/>
          <w:sz w:val="24"/>
          <w:szCs w:val="24"/>
        </w:rPr>
        <w:t xml:space="preserve"> </w:t>
      </w:r>
      <w:r w:rsidRPr="00A57305">
        <w:rPr>
          <w:rFonts w:ascii="Times New Roman" w:eastAsia="Calibri" w:hAnsi="Times New Roman" w:cs="Times New Roman"/>
          <w:bCs/>
          <w:color w:val="000000"/>
          <w:sz w:val="24"/>
          <w:szCs w:val="24"/>
        </w:rPr>
        <w:t>challenges for demand forecasting and planning for system behavior</w:t>
      </w:r>
      <w:r w:rsidR="00202EA1" w:rsidRPr="00A57305">
        <w:rPr>
          <w:rStyle w:val="FootnoteReference"/>
          <w:rFonts w:ascii="Times New Roman" w:eastAsia="Calibri" w:hAnsi="Times New Roman" w:cs="Times New Roman"/>
          <w:bCs/>
          <w:color w:val="000000"/>
          <w:sz w:val="24"/>
          <w:szCs w:val="24"/>
        </w:rPr>
        <w:footnoteReference w:id="17"/>
      </w:r>
      <w:r w:rsidR="00F131EE" w:rsidRPr="00A57305">
        <w:rPr>
          <w:rFonts w:ascii="Times New Roman" w:eastAsia="Calibri" w:hAnsi="Times New Roman" w:cs="Times New Roman"/>
          <w:bCs/>
          <w:color w:val="000000"/>
          <w:sz w:val="24"/>
          <w:szCs w:val="24"/>
        </w:rPr>
        <w:t xml:space="preserve"> </w:t>
      </w:r>
    </w:p>
    <w:p w14:paraId="2FF1DC65" w14:textId="77777777" w:rsidR="006D0554" w:rsidRPr="00A57305" w:rsidRDefault="006D0554" w:rsidP="006D0554">
      <w:pPr>
        <w:spacing w:after="0" w:line="360" w:lineRule="auto"/>
        <w:ind w:left="720"/>
        <w:jc w:val="both"/>
        <w:rPr>
          <w:rFonts w:ascii="Times New Roman" w:eastAsia="Calibri" w:hAnsi="Times New Roman" w:cs="Times New Roman"/>
          <w:bCs/>
          <w:color w:val="000000"/>
          <w:sz w:val="24"/>
          <w:szCs w:val="24"/>
        </w:rPr>
      </w:pPr>
    </w:p>
    <w:p w14:paraId="4F8FFB84" w14:textId="05EEC137" w:rsidR="00D27CC4" w:rsidRPr="00A57305" w:rsidRDefault="00F131EE" w:rsidP="006D0554">
      <w:pPr>
        <w:spacing w:after="0" w:line="360" w:lineRule="auto"/>
        <w:ind w:firstLine="720"/>
        <w:jc w:val="both"/>
        <w:rPr>
          <w:rFonts w:ascii="Times New Roman" w:eastAsia="Calibri" w:hAnsi="Times New Roman" w:cs="Times New Roman"/>
          <w:bCs/>
          <w:color w:val="000000"/>
          <w:sz w:val="24"/>
          <w:szCs w:val="24"/>
        </w:rPr>
      </w:pPr>
      <w:r w:rsidRPr="00A57305">
        <w:rPr>
          <w:rFonts w:ascii="Times New Roman" w:eastAsia="Calibri" w:hAnsi="Times New Roman" w:cs="Times New Roman"/>
          <w:bCs/>
          <w:color w:val="000000"/>
          <w:sz w:val="24"/>
          <w:szCs w:val="24"/>
        </w:rPr>
        <w:t>Moreov</w:t>
      </w:r>
      <w:r w:rsidRPr="00A57305">
        <w:rPr>
          <w:rFonts w:ascii="Times New Roman" w:eastAsia="Calibri" w:hAnsi="Times New Roman" w:cs="Times New Roman"/>
          <w:bCs/>
          <w:color w:val="000000"/>
          <w:sz w:val="24"/>
          <w:szCs w:val="24"/>
        </w:rPr>
        <w:t xml:space="preserve">er, just within the last year, </w:t>
      </w:r>
      <w:r w:rsidR="00182332" w:rsidRPr="00A57305">
        <w:rPr>
          <w:rFonts w:ascii="Times New Roman" w:eastAsia="Calibri" w:hAnsi="Times New Roman" w:cs="Times New Roman"/>
          <w:bCs/>
          <w:color w:val="000000"/>
          <w:sz w:val="24"/>
          <w:szCs w:val="24"/>
        </w:rPr>
        <w:t xml:space="preserve"> several U.S. utilities and ISO/RTOs significantly increased their peak</w:t>
      </w:r>
      <w:r w:rsidRPr="00A57305">
        <w:rPr>
          <w:rFonts w:ascii="Times New Roman" w:eastAsia="Calibri" w:hAnsi="Times New Roman" w:cs="Times New Roman"/>
          <w:bCs/>
          <w:color w:val="000000"/>
          <w:sz w:val="24"/>
          <w:szCs w:val="24"/>
        </w:rPr>
        <w:t xml:space="preserve"> </w:t>
      </w:r>
      <w:r w:rsidR="00182332" w:rsidRPr="00A57305">
        <w:rPr>
          <w:rFonts w:ascii="Times New Roman" w:eastAsia="Calibri" w:hAnsi="Times New Roman" w:cs="Times New Roman"/>
          <w:bCs/>
          <w:color w:val="000000"/>
          <w:sz w:val="24"/>
          <w:szCs w:val="24"/>
        </w:rPr>
        <w:t>demand forecasts, driven in large part by a surge in data centers, manufacturing, and</w:t>
      </w:r>
      <w:r w:rsidRPr="00A57305">
        <w:rPr>
          <w:rFonts w:ascii="Times New Roman" w:eastAsia="Calibri" w:hAnsi="Times New Roman" w:cs="Times New Roman"/>
          <w:bCs/>
          <w:color w:val="000000"/>
          <w:sz w:val="24"/>
          <w:szCs w:val="24"/>
        </w:rPr>
        <w:t xml:space="preserve"> </w:t>
      </w:r>
      <w:r w:rsidR="00182332" w:rsidRPr="00A57305">
        <w:rPr>
          <w:rFonts w:ascii="Times New Roman" w:eastAsia="Calibri" w:hAnsi="Times New Roman" w:cs="Times New Roman"/>
          <w:bCs/>
          <w:color w:val="000000"/>
          <w:sz w:val="24"/>
          <w:szCs w:val="24"/>
        </w:rPr>
        <w:t>electrification</w:t>
      </w:r>
      <w:r w:rsidR="006D17B4" w:rsidRPr="00A57305">
        <w:rPr>
          <w:rFonts w:ascii="Times New Roman" w:eastAsia="Calibri" w:hAnsi="Times New Roman" w:cs="Times New Roman"/>
          <w:bCs/>
          <w:color w:val="000000"/>
          <w:sz w:val="24"/>
          <w:szCs w:val="24"/>
        </w:rPr>
        <w:t xml:space="preserve"> initiatives.</w:t>
      </w:r>
      <w:r w:rsidR="00786D27" w:rsidRPr="00A57305">
        <w:rPr>
          <w:rStyle w:val="FootnoteReference"/>
          <w:rFonts w:ascii="Times New Roman" w:eastAsia="Calibri" w:hAnsi="Times New Roman" w:cs="Times New Roman"/>
          <w:bCs/>
          <w:color w:val="000000"/>
          <w:sz w:val="24"/>
          <w:szCs w:val="24"/>
        </w:rPr>
        <w:footnoteReference w:id="18"/>
      </w:r>
      <w:r w:rsidR="00663045" w:rsidRPr="00A57305">
        <w:rPr>
          <w:rFonts w:ascii="Times New Roman" w:eastAsia="Calibri" w:hAnsi="Times New Roman" w:cs="Times New Roman"/>
          <w:bCs/>
          <w:color w:val="000000"/>
          <w:sz w:val="24"/>
          <w:szCs w:val="24"/>
        </w:rPr>
        <w:t xml:space="preserve"> Indeed, as the </w:t>
      </w:r>
      <w:r w:rsidR="007C75B4" w:rsidRPr="00A57305">
        <w:rPr>
          <w:rFonts w:ascii="Times New Roman" w:eastAsia="Calibri" w:hAnsi="Times New Roman" w:cs="Times New Roman"/>
          <w:bCs/>
          <w:i/>
          <w:iCs/>
          <w:color w:val="000000"/>
          <w:sz w:val="24"/>
          <w:szCs w:val="24"/>
        </w:rPr>
        <w:t>P</w:t>
      </w:r>
      <w:r w:rsidR="00663045" w:rsidRPr="00A57305">
        <w:rPr>
          <w:rFonts w:ascii="Times New Roman" w:eastAsia="Calibri" w:hAnsi="Times New Roman" w:cs="Times New Roman"/>
          <w:bCs/>
          <w:i/>
          <w:iCs/>
          <w:color w:val="000000"/>
          <w:sz w:val="24"/>
          <w:szCs w:val="24"/>
        </w:rPr>
        <w:t>etition</w:t>
      </w:r>
      <w:r w:rsidR="00663045" w:rsidRPr="00A57305">
        <w:rPr>
          <w:rFonts w:ascii="Times New Roman" w:eastAsia="Calibri" w:hAnsi="Times New Roman" w:cs="Times New Roman"/>
          <w:bCs/>
          <w:color w:val="000000"/>
          <w:sz w:val="24"/>
          <w:szCs w:val="24"/>
        </w:rPr>
        <w:t xml:space="preserve"> points out, at </w:t>
      </w:r>
      <w:r w:rsidR="00D27CC4" w:rsidRPr="00A57305">
        <w:rPr>
          <w:rFonts w:ascii="Times New Roman" w:eastAsia="Calibri" w:hAnsi="Times New Roman" w:cs="Times New Roman"/>
          <w:bCs/>
          <w:color w:val="000000"/>
          <w:sz w:val="24"/>
          <w:szCs w:val="24"/>
        </w:rPr>
        <w:t>10</w:t>
      </w:r>
      <w:r w:rsidR="00D354F7" w:rsidRPr="00A57305">
        <w:rPr>
          <w:rFonts w:ascii="Times New Roman" w:eastAsia="Calibri" w:hAnsi="Times New Roman" w:cs="Times New Roman"/>
          <w:bCs/>
          <w:color w:val="000000"/>
          <w:sz w:val="24"/>
          <w:szCs w:val="24"/>
        </w:rPr>
        <w:t xml:space="preserve">, reliability concerns drove Congress, </w:t>
      </w:r>
      <w:r w:rsidR="00EA2F66" w:rsidRPr="00A57305">
        <w:rPr>
          <w:rFonts w:ascii="Times New Roman" w:eastAsia="Calibri" w:hAnsi="Times New Roman" w:cs="Times New Roman"/>
          <w:color w:val="000000" w:themeColor="text1"/>
          <w:sz w:val="24"/>
          <w:szCs w:val="24"/>
        </w:rPr>
        <w:t>in the Infrastructure Investment and Jobs Act  of 2021</w:t>
      </w:r>
      <w:r w:rsidR="00E60F00" w:rsidRPr="00A57305">
        <w:rPr>
          <w:rFonts w:ascii="Times New Roman" w:eastAsia="Calibri" w:hAnsi="Times New Roman" w:cs="Times New Roman"/>
          <w:color w:val="000000" w:themeColor="text1"/>
          <w:sz w:val="24"/>
          <w:szCs w:val="24"/>
        </w:rPr>
        <w:t xml:space="preserve"> to </w:t>
      </w:r>
      <w:r w:rsidR="005329B5" w:rsidRPr="00A57305">
        <w:rPr>
          <w:rFonts w:ascii="Times New Roman" w:eastAsia="Calibri" w:hAnsi="Times New Roman" w:cs="Times New Roman"/>
          <w:color w:val="000000" w:themeColor="text1"/>
          <w:sz w:val="24"/>
          <w:szCs w:val="24"/>
        </w:rPr>
        <w:t xml:space="preserve">amend the Public Utility Regulatory Policies Act </w:t>
      </w:r>
      <w:r w:rsidR="00924BA3" w:rsidRPr="00A57305">
        <w:rPr>
          <w:rFonts w:ascii="Times New Roman" w:eastAsia="Calibri" w:hAnsi="Times New Roman" w:cs="Times New Roman"/>
          <w:color w:val="000000" w:themeColor="text1"/>
          <w:sz w:val="24"/>
          <w:szCs w:val="24"/>
        </w:rPr>
        <w:t xml:space="preserve"> to mandate that </w:t>
      </w:r>
      <w:r w:rsidR="005329B5" w:rsidRPr="00A57305">
        <w:rPr>
          <w:rFonts w:ascii="Times New Roman" w:eastAsia="Calibri" w:hAnsi="Times New Roman" w:cs="Times New Roman"/>
          <w:color w:val="000000" w:themeColor="text1"/>
          <w:sz w:val="24"/>
          <w:szCs w:val="24"/>
        </w:rPr>
        <w:t>“</w:t>
      </w:r>
      <w:r w:rsidR="00924BA3" w:rsidRPr="00A57305">
        <w:rPr>
          <w:rFonts w:ascii="Times New Roman" w:eastAsia="Calibri" w:hAnsi="Times New Roman" w:cs="Times New Roman"/>
          <w:color w:val="000000" w:themeColor="text1"/>
          <w:sz w:val="24"/>
          <w:szCs w:val="24"/>
        </w:rPr>
        <w:t>[e]</w:t>
      </w:r>
      <w:r w:rsidR="005329B5" w:rsidRPr="00A57305">
        <w:rPr>
          <w:rFonts w:ascii="Times New Roman" w:eastAsia="Calibri" w:hAnsi="Times New Roman" w:cs="Times New Roman"/>
          <w:color w:val="000000" w:themeColor="text1"/>
          <w:sz w:val="24"/>
          <w:szCs w:val="24"/>
        </w:rPr>
        <w:t xml:space="preserve">ach electric utility </w:t>
      </w:r>
      <w:r w:rsidR="005329B5" w:rsidRPr="00A57305">
        <w:rPr>
          <w:rFonts w:ascii="Times New Roman" w:eastAsia="Calibri" w:hAnsi="Times New Roman" w:cs="Times New Roman"/>
          <w:i/>
          <w:iCs/>
          <w:color w:val="000000" w:themeColor="text1"/>
          <w:sz w:val="24"/>
          <w:szCs w:val="24"/>
        </w:rPr>
        <w:t>shall</w:t>
      </w:r>
      <w:r w:rsidR="005329B5" w:rsidRPr="00A57305">
        <w:rPr>
          <w:rFonts w:ascii="Times New Roman" w:eastAsia="Calibri" w:hAnsi="Times New Roman" w:cs="Times New Roman"/>
          <w:color w:val="000000" w:themeColor="text1"/>
          <w:sz w:val="24"/>
          <w:szCs w:val="24"/>
        </w:rPr>
        <w:t xml:space="preserve"> promote the </w:t>
      </w:r>
      <w:r w:rsidR="005329B5" w:rsidRPr="00A57305">
        <w:rPr>
          <w:rFonts w:ascii="Times New Roman" w:eastAsia="Calibri" w:hAnsi="Times New Roman" w:cs="Times New Roman"/>
          <w:color w:val="000000" w:themeColor="text1"/>
          <w:sz w:val="24"/>
          <w:szCs w:val="24"/>
        </w:rPr>
        <w:lastRenderedPageBreak/>
        <w:t xml:space="preserve">use of </w:t>
      </w:r>
      <w:r w:rsidR="005329B5" w:rsidRPr="00A57305">
        <w:rPr>
          <w:rFonts w:ascii="Times New Roman" w:eastAsia="Calibri" w:hAnsi="Times New Roman" w:cs="Times New Roman"/>
          <w:i/>
          <w:iCs/>
          <w:color w:val="000000" w:themeColor="text1"/>
          <w:sz w:val="24"/>
          <w:szCs w:val="24"/>
        </w:rPr>
        <w:t>demand-response</w:t>
      </w:r>
      <w:r w:rsidR="005329B5" w:rsidRPr="00A57305">
        <w:rPr>
          <w:rFonts w:ascii="Times New Roman" w:eastAsia="Calibri" w:hAnsi="Times New Roman" w:cs="Times New Roman"/>
          <w:color w:val="000000" w:themeColor="text1"/>
          <w:sz w:val="24"/>
          <w:szCs w:val="24"/>
        </w:rPr>
        <w:t xml:space="preserve"> and demand flexibility practices by commercial, residential, and industrial consumers to reduce electricity consumption during periods of unusually high demand.”</w:t>
      </w:r>
      <w:r w:rsidR="00D8633E" w:rsidRPr="00A57305">
        <w:rPr>
          <w:rStyle w:val="FootnoteReference"/>
          <w:rFonts w:ascii="Times New Roman" w:eastAsia="Calibri" w:hAnsi="Times New Roman" w:cs="Times New Roman"/>
          <w:color w:val="000000" w:themeColor="text1"/>
          <w:sz w:val="24"/>
          <w:szCs w:val="24"/>
        </w:rPr>
        <w:footnoteReference w:id="19"/>
      </w:r>
    </w:p>
    <w:p w14:paraId="789DB9BE" w14:textId="77777777" w:rsidR="00DD4529" w:rsidRPr="00A57305" w:rsidRDefault="00DD4529" w:rsidP="00FD449A">
      <w:pPr>
        <w:spacing w:after="0" w:line="360" w:lineRule="auto"/>
        <w:ind w:firstLine="720"/>
        <w:jc w:val="both"/>
        <w:rPr>
          <w:rFonts w:ascii="Times New Roman" w:eastAsia="Calibri" w:hAnsi="Times New Roman" w:cs="Times New Roman"/>
          <w:bCs/>
          <w:i/>
          <w:iCs/>
          <w:color w:val="000000"/>
          <w:sz w:val="24"/>
          <w:szCs w:val="24"/>
        </w:rPr>
      </w:pPr>
    </w:p>
    <w:p w14:paraId="394C9A27" w14:textId="229B2CA7" w:rsidR="000773C2" w:rsidRPr="00A57305" w:rsidRDefault="000773C2" w:rsidP="00FD449A">
      <w:pPr>
        <w:spacing w:after="0" w:line="360" w:lineRule="auto"/>
        <w:ind w:firstLine="720"/>
        <w:jc w:val="both"/>
        <w:rPr>
          <w:rFonts w:ascii="Times New Roman" w:eastAsia="Calibri" w:hAnsi="Times New Roman" w:cs="Times New Roman"/>
          <w:bCs/>
          <w:color w:val="000000"/>
          <w:sz w:val="24"/>
          <w:szCs w:val="24"/>
        </w:rPr>
      </w:pPr>
      <w:r w:rsidRPr="00A57305">
        <w:rPr>
          <w:rFonts w:ascii="Times New Roman" w:eastAsia="Calibri" w:hAnsi="Times New Roman" w:cs="Times New Roman"/>
          <w:bCs/>
          <w:color w:val="000000"/>
          <w:sz w:val="24"/>
          <w:szCs w:val="24"/>
        </w:rPr>
        <w:t>T</w:t>
      </w:r>
      <w:r w:rsidR="003F4E8D" w:rsidRPr="00A57305">
        <w:rPr>
          <w:rFonts w:ascii="Times New Roman" w:eastAsia="Calibri" w:hAnsi="Times New Roman" w:cs="Times New Roman"/>
          <w:bCs/>
          <w:color w:val="000000"/>
          <w:sz w:val="24"/>
          <w:szCs w:val="24"/>
        </w:rPr>
        <w:t>here is also no question that</w:t>
      </w:r>
      <w:r w:rsidR="00BA48A4" w:rsidRPr="00A57305">
        <w:rPr>
          <w:rFonts w:ascii="Times New Roman" w:eastAsia="Calibri" w:hAnsi="Times New Roman" w:cs="Times New Roman"/>
          <w:bCs/>
          <w:color w:val="000000"/>
          <w:sz w:val="24"/>
          <w:szCs w:val="24"/>
        </w:rPr>
        <w:t xml:space="preserve"> </w:t>
      </w:r>
      <w:r w:rsidR="00385E9D" w:rsidRPr="00A57305">
        <w:rPr>
          <w:rFonts w:ascii="Times New Roman" w:eastAsia="Calibri" w:hAnsi="Times New Roman" w:cs="Times New Roman"/>
          <w:bCs/>
          <w:color w:val="000000"/>
          <w:sz w:val="24"/>
          <w:szCs w:val="24"/>
        </w:rPr>
        <w:t xml:space="preserve">demand response programs </w:t>
      </w:r>
      <w:r w:rsidR="00134FE6" w:rsidRPr="00A57305">
        <w:rPr>
          <w:rFonts w:ascii="Times New Roman" w:eastAsia="Calibri" w:hAnsi="Times New Roman" w:cs="Times New Roman"/>
          <w:bCs/>
          <w:color w:val="000000"/>
          <w:sz w:val="24"/>
          <w:szCs w:val="24"/>
        </w:rPr>
        <w:t>play an increasingly important role in keeping the electric grid stable and efficient, reducing the risk of blackouts;</w:t>
      </w:r>
      <w:r w:rsidR="00134FE6" w:rsidRPr="00A57305">
        <w:rPr>
          <w:rFonts w:ascii="Times New Roman" w:eastAsia="Calibri" w:hAnsi="Times New Roman" w:cs="Times New Roman"/>
          <w:bCs/>
          <w:color w:val="000000"/>
          <w:sz w:val="24"/>
          <w:szCs w:val="24"/>
          <w:vertAlign w:val="superscript"/>
        </w:rPr>
        <w:t xml:space="preserve"> </w:t>
      </w:r>
      <w:r w:rsidR="00134FE6" w:rsidRPr="00A57305">
        <w:rPr>
          <w:rFonts w:ascii="Times New Roman" w:eastAsia="Calibri" w:hAnsi="Times New Roman" w:cs="Times New Roman"/>
          <w:bCs/>
          <w:color w:val="000000"/>
          <w:sz w:val="24"/>
          <w:szCs w:val="24"/>
        </w:rPr>
        <w:t>reducing the need for investment in</w:t>
      </w:r>
      <w:r w:rsidR="00707380" w:rsidRPr="00A57305">
        <w:rPr>
          <w:rFonts w:ascii="Times New Roman" w:eastAsia="Calibri" w:hAnsi="Times New Roman" w:cs="Times New Roman"/>
          <w:bCs/>
          <w:color w:val="000000"/>
          <w:sz w:val="24"/>
          <w:szCs w:val="24"/>
        </w:rPr>
        <w:t xml:space="preserve"> </w:t>
      </w:r>
      <w:r w:rsidR="00134FE6" w:rsidRPr="00A57305">
        <w:rPr>
          <w:rFonts w:ascii="Times New Roman" w:eastAsia="Calibri" w:hAnsi="Times New Roman" w:cs="Times New Roman"/>
          <w:bCs/>
          <w:color w:val="000000"/>
          <w:sz w:val="24"/>
          <w:szCs w:val="24"/>
        </w:rPr>
        <w:t xml:space="preserve">generation, transmission and distribution systems; and delivering </w:t>
      </w:r>
      <w:r w:rsidR="00B94E4A" w:rsidRPr="00A57305">
        <w:rPr>
          <w:rFonts w:ascii="Times New Roman" w:eastAsia="Calibri" w:hAnsi="Times New Roman" w:cs="Times New Roman"/>
          <w:bCs/>
          <w:color w:val="000000"/>
          <w:sz w:val="24"/>
          <w:szCs w:val="24"/>
        </w:rPr>
        <w:t xml:space="preserve">real </w:t>
      </w:r>
      <w:r w:rsidR="00134FE6" w:rsidRPr="00A57305">
        <w:rPr>
          <w:rFonts w:ascii="Times New Roman" w:eastAsia="Calibri" w:hAnsi="Times New Roman" w:cs="Times New Roman"/>
          <w:bCs/>
          <w:color w:val="000000"/>
          <w:sz w:val="24"/>
          <w:szCs w:val="24"/>
        </w:rPr>
        <w:t xml:space="preserve">economic benefits to </w:t>
      </w:r>
      <w:r w:rsidR="00B94E4A" w:rsidRPr="00A57305">
        <w:rPr>
          <w:rFonts w:ascii="Times New Roman" w:eastAsia="Calibri" w:hAnsi="Times New Roman" w:cs="Times New Roman"/>
          <w:bCs/>
          <w:color w:val="000000"/>
          <w:sz w:val="24"/>
          <w:szCs w:val="24"/>
        </w:rPr>
        <w:t>ratepayers.</w:t>
      </w:r>
      <w:r w:rsidR="00DA486C" w:rsidRPr="00A57305">
        <w:rPr>
          <w:rStyle w:val="FootnoteReference"/>
          <w:rFonts w:ascii="Times New Roman" w:eastAsia="Calibri" w:hAnsi="Times New Roman" w:cs="Times New Roman"/>
          <w:bCs/>
          <w:color w:val="000000"/>
          <w:sz w:val="24"/>
          <w:szCs w:val="24"/>
        </w:rPr>
        <w:footnoteReference w:id="20"/>
      </w:r>
      <w:r w:rsidR="006244FA" w:rsidRPr="00A57305">
        <w:rPr>
          <w:rFonts w:ascii="Times New Roman" w:eastAsia="Calibri" w:hAnsi="Times New Roman" w:cs="Times New Roman"/>
          <w:bCs/>
          <w:color w:val="000000"/>
          <w:sz w:val="24"/>
          <w:szCs w:val="24"/>
        </w:rPr>
        <w:t xml:space="preserve"> </w:t>
      </w:r>
      <w:r w:rsidR="00533350" w:rsidRPr="00A57305">
        <w:rPr>
          <w:rFonts w:ascii="Times New Roman" w:eastAsia="Calibri" w:hAnsi="Times New Roman" w:cs="Times New Roman"/>
          <w:bCs/>
          <w:color w:val="000000"/>
          <w:sz w:val="24"/>
          <w:szCs w:val="24"/>
        </w:rPr>
        <w:t xml:space="preserve"> </w:t>
      </w:r>
    </w:p>
    <w:p w14:paraId="4D2BBCF4" w14:textId="77777777" w:rsidR="00DD4529" w:rsidRPr="00A57305" w:rsidRDefault="00DD4529" w:rsidP="00FD449A">
      <w:pPr>
        <w:spacing w:after="0" w:line="360" w:lineRule="auto"/>
        <w:ind w:firstLine="720"/>
        <w:jc w:val="both"/>
        <w:rPr>
          <w:rFonts w:ascii="Times New Roman" w:eastAsia="Calibri" w:hAnsi="Times New Roman" w:cs="Times New Roman"/>
          <w:bCs/>
          <w:color w:val="000000"/>
          <w:sz w:val="24"/>
          <w:szCs w:val="24"/>
        </w:rPr>
      </w:pPr>
    </w:p>
    <w:p w14:paraId="1137E0E2" w14:textId="66CBEC63" w:rsidR="00604DB3" w:rsidRPr="00A57305" w:rsidRDefault="00533350" w:rsidP="00FD449A">
      <w:pPr>
        <w:spacing w:after="0" w:line="360" w:lineRule="auto"/>
        <w:ind w:firstLine="720"/>
        <w:jc w:val="both"/>
        <w:rPr>
          <w:rFonts w:ascii="Times New Roman" w:eastAsia="Calibri" w:hAnsi="Times New Roman" w:cs="Times New Roman"/>
          <w:bCs/>
          <w:color w:val="000000"/>
          <w:sz w:val="24"/>
          <w:szCs w:val="24"/>
        </w:rPr>
      </w:pPr>
      <w:r w:rsidRPr="00A57305">
        <w:rPr>
          <w:rFonts w:ascii="Times New Roman" w:eastAsia="Calibri" w:hAnsi="Times New Roman" w:cs="Times New Roman"/>
          <w:bCs/>
          <w:color w:val="000000"/>
          <w:sz w:val="24"/>
          <w:szCs w:val="24"/>
        </w:rPr>
        <w:t xml:space="preserve">Ratepayers benefit directly by </w:t>
      </w:r>
      <w:r w:rsidR="000773C2" w:rsidRPr="00A57305">
        <w:rPr>
          <w:rFonts w:ascii="Times New Roman" w:eastAsia="Calibri" w:hAnsi="Times New Roman" w:cs="Times New Roman"/>
          <w:bCs/>
          <w:color w:val="000000"/>
          <w:sz w:val="24"/>
          <w:szCs w:val="24"/>
        </w:rPr>
        <w:t>reducing</w:t>
      </w:r>
      <w:r w:rsidRPr="00A57305">
        <w:rPr>
          <w:rFonts w:ascii="Times New Roman" w:eastAsia="Calibri" w:hAnsi="Times New Roman" w:cs="Times New Roman"/>
          <w:bCs/>
          <w:color w:val="000000"/>
          <w:sz w:val="24"/>
          <w:szCs w:val="24"/>
        </w:rPr>
        <w:t xml:space="preserve"> </w:t>
      </w:r>
      <w:r w:rsidR="009A589B" w:rsidRPr="00A57305">
        <w:rPr>
          <w:rFonts w:ascii="Times New Roman" w:eastAsia="Calibri" w:hAnsi="Times New Roman" w:cs="Times New Roman"/>
          <w:bCs/>
          <w:color w:val="000000"/>
          <w:sz w:val="24"/>
          <w:szCs w:val="24"/>
        </w:rPr>
        <w:t xml:space="preserve">their electricity use </w:t>
      </w:r>
      <w:r w:rsidRPr="00A57305">
        <w:rPr>
          <w:rFonts w:ascii="Times New Roman" w:eastAsia="Calibri" w:hAnsi="Times New Roman" w:cs="Times New Roman"/>
          <w:bCs/>
          <w:color w:val="000000"/>
          <w:sz w:val="24"/>
          <w:szCs w:val="24"/>
        </w:rPr>
        <w:t xml:space="preserve">in response to </w:t>
      </w:r>
      <w:r w:rsidR="009A589B" w:rsidRPr="00A57305">
        <w:rPr>
          <w:rFonts w:ascii="Times New Roman" w:eastAsia="Calibri" w:hAnsi="Times New Roman" w:cs="Times New Roman"/>
          <w:bCs/>
          <w:color w:val="000000"/>
          <w:sz w:val="24"/>
          <w:szCs w:val="24"/>
        </w:rPr>
        <w:t>incentive programs</w:t>
      </w:r>
      <w:r w:rsidR="007B12BB" w:rsidRPr="00A57305">
        <w:rPr>
          <w:rFonts w:ascii="Times New Roman" w:eastAsia="Calibri" w:hAnsi="Times New Roman" w:cs="Times New Roman"/>
          <w:bCs/>
          <w:color w:val="000000"/>
          <w:sz w:val="24"/>
          <w:szCs w:val="24"/>
        </w:rPr>
        <w:t xml:space="preserve"> and indirectly </w:t>
      </w:r>
      <w:r w:rsidR="00B62408" w:rsidRPr="00A57305">
        <w:rPr>
          <w:rFonts w:ascii="Times New Roman" w:eastAsia="Calibri" w:hAnsi="Times New Roman" w:cs="Times New Roman"/>
          <w:bCs/>
          <w:color w:val="000000"/>
          <w:sz w:val="24"/>
          <w:szCs w:val="24"/>
        </w:rPr>
        <w:t>in the form of lower wholesale costs</w:t>
      </w:r>
      <w:r w:rsidR="00224FC2" w:rsidRPr="00A57305">
        <w:rPr>
          <w:rFonts w:ascii="Times New Roman" w:eastAsia="Calibri" w:hAnsi="Times New Roman" w:cs="Times New Roman"/>
          <w:bCs/>
          <w:color w:val="000000"/>
          <w:sz w:val="24"/>
          <w:szCs w:val="24"/>
        </w:rPr>
        <w:t>,</w:t>
      </w:r>
      <w:r w:rsidR="00B62408" w:rsidRPr="00A57305">
        <w:rPr>
          <w:rFonts w:ascii="Times New Roman" w:eastAsia="Calibri" w:hAnsi="Times New Roman" w:cs="Times New Roman"/>
          <w:bCs/>
          <w:color w:val="000000"/>
          <w:sz w:val="24"/>
          <w:szCs w:val="24"/>
        </w:rPr>
        <w:t xml:space="preserve"> </w:t>
      </w:r>
      <w:r w:rsidR="001467E4" w:rsidRPr="00A57305">
        <w:rPr>
          <w:rFonts w:ascii="Times New Roman" w:eastAsia="Calibri" w:hAnsi="Times New Roman" w:cs="Times New Roman"/>
          <w:bCs/>
          <w:color w:val="000000"/>
          <w:sz w:val="24"/>
          <w:szCs w:val="24"/>
        </w:rPr>
        <w:t xml:space="preserve">because </w:t>
      </w:r>
      <w:r w:rsidR="007E0012" w:rsidRPr="00A57305">
        <w:rPr>
          <w:rFonts w:ascii="Times New Roman" w:eastAsia="Calibri" w:hAnsi="Times New Roman" w:cs="Times New Roman"/>
          <w:bCs/>
          <w:color w:val="000000"/>
          <w:sz w:val="24"/>
          <w:szCs w:val="24"/>
        </w:rPr>
        <w:t>demand response</w:t>
      </w:r>
      <w:r w:rsidR="001467E4" w:rsidRPr="00A57305">
        <w:rPr>
          <w:rFonts w:ascii="Times New Roman" w:eastAsia="Calibri" w:hAnsi="Times New Roman" w:cs="Times New Roman"/>
          <w:bCs/>
          <w:color w:val="000000"/>
          <w:sz w:val="24"/>
          <w:szCs w:val="24"/>
        </w:rPr>
        <w:t xml:space="preserve"> reduc</w:t>
      </w:r>
      <w:r w:rsidR="007E0012" w:rsidRPr="00A57305">
        <w:rPr>
          <w:rFonts w:ascii="Times New Roman" w:eastAsia="Calibri" w:hAnsi="Times New Roman" w:cs="Times New Roman"/>
          <w:bCs/>
          <w:color w:val="000000"/>
          <w:sz w:val="24"/>
          <w:szCs w:val="24"/>
        </w:rPr>
        <w:t>es</w:t>
      </w:r>
      <w:r w:rsidR="001467E4" w:rsidRPr="00A57305">
        <w:rPr>
          <w:rFonts w:ascii="Times New Roman" w:eastAsia="Calibri" w:hAnsi="Times New Roman" w:cs="Times New Roman"/>
          <w:bCs/>
          <w:color w:val="000000"/>
          <w:sz w:val="24"/>
          <w:szCs w:val="24"/>
        </w:rPr>
        <w:t xml:space="preserve"> </w:t>
      </w:r>
      <w:r w:rsidR="00604DB3" w:rsidRPr="00A57305">
        <w:rPr>
          <w:rFonts w:ascii="Times New Roman" w:eastAsia="Calibri" w:hAnsi="Times New Roman" w:cs="Times New Roman"/>
          <w:bCs/>
          <w:color w:val="000000"/>
          <w:sz w:val="24"/>
          <w:szCs w:val="24"/>
        </w:rPr>
        <w:t>the need to use costly-to-run power</w:t>
      </w:r>
      <w:r w:rsidR="007B0B13" w:rsidRPr="00A57305">
        <w:rPr>
          <w:rFonts w:ascii="Times New Roman" w:eastAsia="Calibri" w:hAnsi="Times New Roman" w:cs="Times New Roman"/>
          <w:bCs/>
          <w:color w:val="000000"/>
          <w:sz w:val="24"/>
          <w:szCs w:val="24"/>
        </w:rPr>
        <w:t xml:space="preserve"> </w:t>
      </w:r>
      <w:r w:rsidR="00604DB3" w:rsidRPr="00A57305">
        <w:rPr>
          <w:rFonts w:ascii="Times New Roman" w:eastAsia="Calibri" w:hAnsi="Times New Roman" w:cs="Times New Roman"/>
          <w:bCs/>
          <w:color w:val="000000"/>
          <w:sz w:val="24"/>
          <w:szCs w:val="24"/>
        </w:rPr>
        <w:t>plants during periods of otherwise high demand</w:t>
      </w:r>
      <w:r w:rsidR="007B12BB" w:rsidRPr="00A57305">
        <w:rPr>
          <w:rFonts w:ascii="Times New Roman" w:eastAsia="Calibri" w:hAnsi="Times New Roman" w:cs="Times New Roman"/>
          <w:bCs/>
          <w:color w:val="000000"/>
          <w:sz w:val="24"/>
          <w:szCs w:val="24"/>
        </w:rPr>
        <w:t>.</w:t>
      </w:r>
      <w:r w:rsidR="00604DB3" w:rsidRPr="00A57305">
        <w:rPr>
          <w:rFonts w:ascii="Times New Roman" w:eastAsia="Calibri" w:hAnsi="Times New Roman" w:cs="Times New Roman"/>
          <w:bCs/>
          <w:color w:val="000000"/>
          <w:sz w:val="24"/>
          <w:szCs w:val="24"/>
        </w:rPr>
        <w:t xml:space="preserve"> </w:t>
      </w:r>
      <w:r w:rsidR="007B12BB" w:rsidRPr="00A57305">
        <w:rPr>
          <w:rFonts w:ascii="Times New Roman" w:eastAsia="Calibri" w:hAnsi="Times New Roman" w:cs="Times New Roman"/>
          <w:bCs/>
          <w:color w:val="000000"/>
          <w:sz w:val="24"/>
          <w:szCs w:val="24"/>
        </w:rPr>
        <w:t xml:space="preserve">Such programs </w:t>
      </w:r>
      <w:r w:rsidR="005F1A9A" w:rsidRPr="00A57305">
        <w:rPr>
          <w:rFonts w:ascii="Times New Roman" w:eastAsia="Calibri" w:hAnsi="Times New Roman" w:cs="Times New Roman"/>
          <w:bCs/>
          <w:color w:val="000000"/>
          <w:sz w:val="24"/>
          <w:szCs w:val="24"/>
        </w:rPr>
        <w:t xml:space="preserve">also can </w:t>
      </w:r>
      <w:r w:rsidR="00604DB3" w:rsidRPr="00A57305">
        <w:rPr>
          <w:rFonts w:ascii="Times New Roman" w:eastAsia="Calibri" w:hAnsi="Times New Roman" w:cs="Times New Roman"/>
          <w:bCs/>
          <w:color w:val="000000"/>
          <w:sz w:val="24"/>
          <w:szCs w:val="24"/>
        </w:rPr>
        <w:t>lower aggregate system capacity requirements,</w:t>
      </w:r>
      <w:r w:rsidR="0043545E" w:rsidRPr="00A57305">
        <w:rPr>
          <w:rFonts w:ascii="Times New Roman" w:eastAsia="Calibri" w:hAnsi="Times New Roman" w:cs="Times New Roman"/>
          <w:bCs/>
          <w:color w:val="000000"/>
          <w:sz w:val="24"/>
          <w:szCs w:val="24"/>
        </w:rPr>
        <w:t xml:space="preserve"> </w:t>
      </w:r>
      <w:r w:rsidR="00604DB3" w:rsidRPr="00A57305">
        <w:rPr>
          <w:rFonts w:ascii="Times New Roman" w:eastAsia="Calibri" w:hAnsi="Times New Roman" w:cs="Times New Roman"/>
          <w:bCs/>
          <w:color w:val="000000"/>
          <w:sz w:val="24"/>
          <w:szCs w:val="24"/>
        </w:rPr>
        <w:t xml:space="preserve">allowing load-serving entities </w:t>
      </w:r>
      <w:r w:rsidR="00391669" w:rsidRPr="00A57305">
        <w:rPr>
          <w:rFonts w:ascii="Times New Roman" w:eastAsia="Calibri" w:hAnsi="Times New Roman" w:cs="Times New Roman"/>
          <w:bCs/>
          <w:color w:val="000000"/>
          <w:sz w:val="24"/>
          <w:szCs w:val="24"/>
        </w:rPr>
        <w:t xml:space="preserve">additional time to </w:t>
      </w:r>
      <w:r w:rsidR="0080681C" w:rsidRPr="00A57305">
        <w:rPr>
          <w:rFonts w:ascii="Times New Roman" w:eastAsia="Calibri" w:hAnsi="Times New Roman" w:cs="Times New Roman"/>
          <w:bCs/>
          <w:color w:val="000000"/>
          <w:sz w:val="24"/>
          <w:szCs w:val="24"/>
        </w:rPr>
        <w:t>interconnect or construct new generation or transmission capacity.</w:t>
      </w:r>
    </w:p>
    <w:p w14:paraId="7A6F5622" w14:textId="77777777" w:rsidR="00DD4529" w:rsidRPr="00A57305" w:rsidRDefault="00DD4529" w:rsidP="00FD449A">
      <w:pPr>
        <w:spacing w:after="0" w:line="360" w:lineRule="auto"/>
        <w:ind w:firstLine="720"/>
        <w:jc w:val="both"/>
        <w:rPr>
          <w:rFonts w:ascii="Times New Roman" w:eastAsia="Calibri" w:hAnsi="Times New Roman" w:cs="Times New Roman"/>
          <w:bCs/>
          <w:color w:val="000000"/>
          <w:sz w:val="24"/>
          <w:szCs w:val="24"/>
        </w:rPr>
      </w:pPr>
    </w:p>
    <w:p w14:paraId="4A16B327" w14:textId="45519432" w:rsidR="009C4EEF" w:rsidRPr="00A57305" w:rsidRDefault="00134E2E" w:rsidP="00E661FF">
      <w:pPr>
        <w:spacing w:after="0" w:line="360" w:lineRule="auto"/>
        <w:ind w:firstLine="720"/>
        <w:jc w:val="both"/>
        <w:rPr>
          <w:rFonts w:ascii="Times New Roman" w:eastAsia="Calibri" w:hAnsi="Times New Roman" w:cs="Times New Roman"/>
          <w:bCs/>
          <w:color w:val="000000"/>
          <w:sz w:val="24"/>
          <w:szCs w:val="24"/>
        </w:rPr>
      </w:pPr>
      <w:r w:rsidRPr="00A57305">
        <w:rPr>
          <w:rFonts w:ascii="Times New Roman" w:eastAsia="Calibri" w:hAnsi="Times New Roman" w:cs="Times New Roman"/>
          <w:bCs/>
          <w:color w:val="000000"/>
          <w:sz w:val="24"/>
          <w:szCs w:val="24"/>
        </w:rPr>
        <w:t xml:space="preserve">That is why NARUC supports </w:t>
      </w:r>
      <w:r w:rsidR="00A97D39" w:rsidRPr="00A57305">
        <w:rPr>
          <w:rFonts w:ascii="Times New Roman" w:eastAsia="Calibri" w:hAnsi="Times New Roman" w:cs="Times New Roman"/>
          <w:bCs/>
          <w:color w:val="000000"/>
          <w:sz w:val="24"/>
          <w:szCs w:val="24"/>
        </w:rPr>
        <w:t xml:space="preserve">the </w:t>
      </w:r>
      <w:r w:rsidR="00A97D39" w:rsidRPr="00A57305">
        <w:rPr>
          <w:rFonts w:ascii="Times New Roman" w:eastAsia="Calibri" w:hAnsi="Times New Roman" w:cs="Times New Roman"/>
          <w:bCs/>
          <w:i/>
          <w:iCs/>
          <w:color w:val="000000"/>
          <w:sz w:val="24"/>
          <w:szCs w:val="24"/>
        </w:rPr>
        <w:t>Petition’s</w:t>
      </w:r>
      <w:r w:rsidR="00A97D39" w:rsidRPr="00A57305">
        <w:rPr>
          <w:rFonts w:ascii="Times New Roman" w:eastAsia="Calibri" w:hAnsi="Times New Roman" w:cs="Times New Roman"/>
          <w:bCs/>
          <w:color w:val="000000"/>
          <w:sz w:val="24"/>
          <w:szCs w:val="24"/>
        </w:rPr>
        <w:t xml:space="preserve"> request to </w:t>
      </w:r>
      <w:r w:rsidRPr="00A57305">
        <w:rPr>
          <w:rFonts w:ascii="Times New Roman" w:eastAsia="Calibri" w:hAnsi="Times New Roman" w:cs="Times New Roman"/>
          <w:bCs/>
          <w:color w:val="000000"/>
          <w:sz w:val="24"/>
          <w:szCs w:val="24"/>
        </w:rPr>
        <w:t xml:space="preserve">clarify that utilities may rely on “prior express consent” under the TCPA to make non-telemarketing, informational “demand response” calls and texts to their subscribers, absent instructions to the contrary from the subscriber. </w:t>
      </w:r>
    </w:p>
    <w:p w14:paraId="3484D925" w14:textId="77777777" w:rsidR="009C4EEF" w:rsidRPr="00A57305" w:rsidRDefault="009C4EEF" w:rsidP="00FD449A">
      <w:pPr>
        <w:spacing w:after="0" w:line="360" w:lineRule="auto"/>
        <w:ind w:firstLine="720"/>
        <w:jc w:val="both"/>
        <w:rPr>
          <w:rFonts w:ascii="Times New Roman" w:eastAsia="Calibri" w:hAnsi="Times New Roman" w:cs="Times New Roman"/>
          <w:bCs/>
          <w:color w:val="000000"/>
          <w:sz w:val="24"/>
          <w:szCs w:val="24"/>
        </w:rPr>
      </w:pPr>
    </w:p>
    <w:p w14:paraId="1FA01D09" w14:textId="01FE94A9" w:rsidR="0048132A" w:rsidRPr="00A57305" w:rsidRDefault="00134E2E" w:rsidP="00FD449A">
      <w:pPr>
        <w:spacing w:after="0" w:line="360" w:lineRule="auto"/>
        <w:ind w:firstLine="720"/>
        <w:jc w:val="both"/>
        <w:rPr>
          <w:rFonts w:ascii="Times New Roman" w:eastAsia="Calibri" w:hAnsi="Times New Roman" w:cs="Times New Roman"/>
          <w:bCs/>
          <w:i/>
          <w:iCs/>
          <w:color w:val="000000"/>
          <w:sz w:val="24"/>
          <w:szCs w:val="24"/>
        </w:rPr>
      </w:pPr>
      <w:r w:rsidRPr="00A57305">
        <w:rPr>
          <w:rFonts w:ascii="Times New Roman" w:eastAsia="Calibri" w:hAnsi="Times New Roman" w:cs="Times New Roman"/>
          <w:bCs/>
          <w:color w:val="000000"/>
          <w:sz w:val="24"/>
          <w:szCs w:val="24"/>
        </w:rPr>
        <w:t>Confirming that such communications are “closely related” to the utility service is in the public interest</w:t>
      </w:r>
      <w:r w:rsidR="00224FC2" w:rsidRPr="00A57305">
        <w:rPr>
          <w:rFonts w:ascii="Times New Roman" w:eastAsia="Calibri" w:hAnsi="Times New Roman" w:cs="Times New Roman"/>
          <w:bCs/>
          <w:color w:val="000000"/>
          <w:sz w:val="24"/>
          <w:szCs w:val="24"/>
        </w:rPr>
        <w:t>,</w:t>
      </w:r>
      <w:r w:rsidRPr="00A57305">
        <w:rPr>
          <w:rFonts w:ascii="Times New Roman" w:eastAsia="Calibri" w:hAnsi="Times New Roman" w:cs="Times New Roman"/>
          <w:bCs/>
          <w:color w:val="000000"/>
          <w:sz w:val="24"/>
          <w:szCs w:val="24"/>
        </w:rPr>
        <w:t xml:space="preserve"> because it would: (1) remove existing confusion stemming from the FCC’s 2016 DR; (2) help ensure that utilities can continue to provide safe, reliable, and efficient service to consumers; and (3) help insulate consumers from increased utility bills.</w:t>
      </w:r>
    </w:p>
    <w:p w14:paraId="64F56A1C" w14:textId="0AE134B5" w:rsidR="00EF29CA" w:rsidRPr="00A57305" w:rsidRDefault="00EF29CA" w:rsidP="00175C57">
      <w:pPr>
        <w:autoSpaceDE w:val="0"/>
        <w:autoSpaceDN w:val="0"/>
        <w:adjustRightInd w:val="0"/>
        <w:spacing w:after="0" w:line="240" w:lineRule="auto"/>
        <w:jc w:val="center"/>
        <w:rPr>
          <w:rFonts w:ascii="Times New Roman" w:hAnsi="Times New Roman" w:cs="Times New Roman"/>
          <w:sz w:val="32"/>
          <w:szCs w:val="32"/>
        </w:rPr>
      </w:pPr>
      <w:r w:rsidRPr="00A57305">
        <w:rPr>
          <w:rFonts w:ascii="Times New Roman" w:eastAsia="Times New Roman" w:hAnsi="Times New Roman" w:cs="Times New Roman"/>
          <w:b/>
          <w:smallCaps/>
          <w:sz w:val="32"/>
          <w:szCs w:val="32"/>
        </w:rPr>
        <w:lastRenderedPageBreak/>
        <w:t>Conclusion</w:t>
      </w:r>
    </w:p>
    <w:p w14:paraId="69C757C3" w14:textId="77777777" w:rsidR="00175C57" w:rsidRPr="00A57305" w:rsidRDefault="00175C57" w:rsidP="00FD449A">
      <w:pPr>
        <w:spacing w:after="0" w:line="360" w:lineRule="auto"/>
        <w:ind w:firstLine="720"/>
        <w:jc w:val="both"/>
        <w:rPr>
          <w:rFonts w:ascii="Times New Roman" w:hAnsi="Times New Roman" w:cs="Times New Roman"/>
          <w:bCs/>
          <w:sz w:val="24"/>
          <w:szCs w:val="24"/>
        </w:rPr>
      </w:pPr>
    </w:p>
    <w:p w14:paraId="25ABAE3E" w14:textId="6BCD5B1E" w:rsidR="00580FF4" w:rsidRPr="00A57305" w:rsidRDefault="00EF29CA" w:rsidP="00580FF4">
      <w:pPr>
        <w:spacing w:after="0" w:line="360" w:lineRule="auto"/>
        <w:ind w:firstLine="720"/>
        <w:jc w:val="both"/>
        <w:rPr>
          <w:rFonts w:ascii="Times New Roman" w:eastAsia="Calibri" w:hAnsi="Times New Roman" w:cs="Times New Roman"/>
          <w:bCs/>
          <w:color w:val="000000"/>
          <w:sz w:val="24"/>
          <w:szCs w:val="24"/>
        </w:rPr>
      </w:pPr>
      <w:r w:rsidRPr="00A57305">
        <w:rPr>
          <w:rFonts w:ascii="Times New Roman" w:hAnsi="Times New Roman" w:cs="Times New Roman"/>
          <w:bCs/>
          <w:sz w:val="24"/>
          <w:szCs w:val="24"/>
        </w:rPr>
        <w:t xml:space="preserve">The FCC should </w:t>
      </w:r>
      <w:r w:rsidR="00160738" w:rsidRPr="00A57305">
        <w:rPr>
          <w:rFonts w:ascii="Times New Roman" w:hAnsi="Times New Roman" w:cs="Times New Roman"/>
          <w:bCs/>
          <w:sz w:val="24"/>
          <w:szCs w:val="24"/>
        </w:rPr>
        <w:t>grant the Petition</w:t>
      </w:r>
      <w:r w:rsidR="00580FF4" w:rsidRPr="00A57305">
        <w:rPr>
          <w:rFonts w:ascii="Times New Roman" w:hAnsi="Times New Roman" w:cs="Times New Roman"/>
          <w:bCs/>
          <w:sz w:val="24"/>
          <w:szCs w:val="24"/>
        </w:rPr>
        <w:t xml:space="preserve"> and clarify</w:t>
      </w:r>
      <w:r w:rsidR="00580FF4" w:rsidRPr="00A57305">
        <w:rPr>
          <w:rFonts w:ascii="Times New Roman" w:eastAsia="Calibri" w:hAnsi="Times New Roman" w:cs="Times New Roman"/>
          <w:bCs/>
          <w:color w:val="000000"/>
          <w:sz w:val="24"/>
          <w:szCs w:val="24"/>
        </w:rPr>
        <w:t xml:space="preserve"> that utilities may rely on “prior express consent” under the TCPA to make non-telemarketing, informational “demand response” calls and texts to their subscribers, absent instructions to the contrary from the subscriber.</w:t>
      </w:r>
    </w:p>
    <w:p w14:paraId="2EB16F57" w14:textId="77777777" w:rsidR="00EF29CA" w:rsidRPr="00A57305" w:rsidRDefault="00EF29CA" w:rsidP="00FD449A">
      <w:pPr>
        <w:spacing w:after="0" w:line="240" w:lineRule="auto"/>
        <w:jc w:val="both"/>
        <w:rPr>
          <w:rFonts w:ascii="Times New Roman" w:eastAsia="Calibri" w:hAnsi="Times New Roman" w:cs="Times New Roman"/>
          <w:b/>
          <w:sz w:val="24"/>
          <w:szCs w:val="24"/>
        </w:rPr>
      </w:pPr>
    </w:p>
    <w:p w14:paraId="68092E93" w14:textId="77777777" w:rsidR="00EF29CA" w:rsidRPr="00A57305" w:rsidRDefault="00EF29CA" w:rsidP="00FD449A">
      <w:pPr>
        <w:spacing w:after="0" w:line="240" w:lineRule="auto"/>
        <w:jc w:val="both"/>
        <w:rPr>
          <w:rFonts w:ascii="Times New Roman" w:eastAsia="Calibri" w:hAnsi="Times New Roman" w:cs="Times New Roman"/>
          <w:b/>
          <w:sz w:val="24"/>
          <w:szCs w:val="24"/>
        </w:rPr>
      </w:pPr>
      <w:r w:rsidRPr="00A57305">
        <w:rPr>
          <w:rFonts w:ascii="Times New Roman" w:eastAsia="Calibri" w:hAnsi="Times New Roman" w:cs="Times New Roman"/>
          <w:b/>
          <w:sz w:val="24"/>
          <w:szCs w:val="24"/>
        </w:rPr>
        <w:tab/>
      </w:r>
      <w:r w:rsidRPr="00A57305">
        <w:rPr>
          <w:rFonts w:ascii="Times New Roman" w:eastAsia="Calibri" w:hAnsi="Times New Roman" w:cs="Times New Roman"/>
          <w:b/>
          <w:sz w:val="24"/>
          <w:szCs w:val="24"/>
        </w:rPr>
        <w:tab/>
      </w:r>
      <w:r w:rsidRPr="00A57305">
        <w:rPr>
          <w:rFonts w:ascii="Times New Roman" w:eastAsia="Calibri" w:hAnsi="Times New Roman" w:cs="Times New Roman"/>
          <w:b/>
          <w:sz w:val="24"/>
          <w:szCs w:val="24"/>
        </w:rPr>
        <w:tab/>
      </w:r>
      <w:r w:rsidRPr="00A57305">
        <w:rPr>
          <w:rFonts w:ascii="Times New Roman" w:eastAsia="Calibri" w:hAnsi="Times New Roman" w:cs="Times New Roman"/>
          <w:b/>
          <w:sz w:val="24"/>
          <w:szCs w:val="24"/>
        </w:rPr>
        <w:tab/>
      </w:r>
      <w:r w:rsidRPr="00A57305">
        <w:rPr>
          <w:rFonts w:ascii="Times New Roman" w:eastAsia="Calibri" w:hAnsi="Times New Roman" w:cs="Times New Roman"/>
          <w:b/>
          <w:sz w:val="24"/>
          <w:szCs w:val="24"/>
        </w:rPr>
        <w:tab/>
      </w:r>
      <w:r w:rsidRPr="00A57305">
        <w:rPr>
          <w:rFonts w:ascii="Times New Roman" w:eastAsia="Calibri" w:hAnsi="Times New Roman" w:cs="Times New Roman"/>
          <w:b/>
          <w:sz w:val="24"/>
          <w:szCs w:val="24"/>
        </w:rPr>
        <w:tab/>
        <w:t>Respectfully submitted,</w:t>
      </w:r>
    </w:p>
    <w:p w14:paraId="434CB2AA" w14:textId="77777777" w:rsidR="00EF29CA" w:rsidRPr="00A57305" w:rsidRDefault="00EF29CA" w:rsidP="00FD449A">
      <w:pPr>
        <w:spacing w:after="0" w:line="240" w:lineRule="auto"/>
        <w:jc w:val="both"/>
        <w:rPr>
          <w:rFonts w:ascii="Times New Roman" w:eastAsia="Calibri" w:hAnsi="Times New Roman" w:cs="Times New Roman"/>
          <w:b/>
          <w:sz w:val="24"/>
          <w:szCs w:val="24"/>
        </w:rPr>
      </w:pPr>
    </w:p>
    <w:p w14:paraId="706F07DC" w14:textId="77777777" w:rsidR="00EF29CA" w:rsidRPr="00A57305" w:rsidRDefault="00EF29CA" w:rsidP="00FD449A">
      <w:pPr>
        <w:spacing w:after="0" w:line="240" w:lineRule="auto"/>
        <w:jc w:val="both"/>
        <w:rPr>
          <w:rFonts w:ascii="Times New Roman" w:eastAsia="Calibri" w:hAnsi="Times New Roman" w:cs="Times New Roman"/>
          <w:b/>
          <w:sz w:val="24"/>
          <w:szCs w:val="24"/>
        </w:rPr>
      </w:pPr>
      <w:r w:rsidRPr="00A57305">
        <w:rPr>
          <w:rFonts w:ascii="Times New Roman" w:eastAsia="Calibri" w:hAnsi="Times New Roman" w:cs="Times New Roman"/>
          <w:b/>
          <w:sz w:val="24"/>
          <w:szCs w:val="24"/>
        </w:rPr>
        <w:tab/>
      </w:r>
      <w:r w:rsidRPr="00A57305">
        <w:rPr>
          <w:rFonts w:ascii="Times New Roman" w:eastAsia="Calibri" w:hAnsi="Times New Roman" w:cs="Times New Roman"/>
          <w:b/>
          <w:sz w:val="24"/>
          <w:szCs w:val="24"/>
        </w:rPr>
        <w:tab/>
      </w:r>
      <w:r w:rsidRPr="00A57305">
        <w:rPr>
          <w:rFonts w:ascii="Times New Roman" w:eastAsia="Calibri" w:hAnsi="Times New Roman" w:cs="Times New Roman"/>
          <w:b/>
          <w:sz w:val="24"/>
          <w:szCs w:val="24"/>
        </w:rPr>
        <w:tab/>
      </w:r>
      <w:r w:rsidRPr="00A57305">
        <w:rPr>
          <w:rFonts w:ascii="Times New Roman" w:eastAsia="Calibri" w:hAnsi="Times New Roman" w:cs="Times New Roman"/>
          <w:b/>
          <w:sz w:val="24"/>
          <w:szCs w:val="24"/>
        </w:rPr>
        <w:tab/>
      </w:r>
      <w:r w:rsidRPr="00A57305">
        <w:rPr>
          <w:rFonts w:ascii="Times New Roman" w:eastAsia="Calibri" w:hAnsi="Times New Roman" w:cs="Times New Roman"/>
          <w:b/>
          <w:sz w:val="24"/>
          <w:szCs w:val="24"/>
        </w:rPr>
        <w:tab/>
      </w:r>
      <w:r w:rsidRPr="00A57305">
        <w:rPr>
          <w:rFonts w:ascii="Times New Roman" w:eastAsia="Calibri" w:hAnsi="Times New Roman" w:cs="Times New Roman"/>
          <w:b/>
          <w:sz w:val="24"/>
          <w:szCs w:val="24"/>
        </w:rPr>
        <w:tab/>
        <w:t>James Bradford Ramsay</w:t>
      </w:r>
    </w:p>
    <w:p w14:paraId="6E8D7689" w14:textId="77777777" w:rsidR="00EF29CA" w:rsidRPr="00A57305" w:rsidRDefault="00EF29CA" w:rsidP="00FD449A">
      <w:pPr>
        <w:spacing w:after="0" w:line="240" w:lineRule="auto"/>
        <w:jc w:val="both"/>
        <w:rPr>
          <w:rFonts w:ascii="Times New Roman" w:eastAsia="Calibri" w:hAnsi="Times New Roman" w:cs="Times New Roman"/>
          <w:b/>
          <w:smallCaps/>
          <w:sz w:val="24"/>
          <w:szCs w:val="24"/>
        </w:rPr>
      </w:pPr>
      <w:r w:rsidRPr="00A57305">
        <w:rPr>
          <w:rFonts w:ascii="Times New Roman" w:eastAsia="Calibri" w:hAnsi="Times New Roman" w:cs="Times New Roman"/>
          <w:b/>
          <w:sz w:val="24"/>
          <w:szCs w:val="24"/>
        </w:rPr>
        <w:tab/>
      </w:r>
      <w:r w:rsidRPr="00A57305">
        <w:rPr>
          <w:rFonts w:ascii="Times New Roman" w:eastAsia="Calibri" w:hAnsi="Times New Roman" w:cs="Times New Roman"/>
          <w:b/>
          <w:sz w:val="24"/>
          <w:szCs w:val="24"/>
        </w:rPr>
        <w:tab/>
      </w:r>
      <w:r w:rsidRPr="00A57305">
        <w:rPr>
          <w:rFonts w:ascii="Times New Roman" w:eastAsia="Calibri" w:hAnsi="Times New Roman" w:cs="Times New Roman"/>
          <w:b/>
          <w:sz w:val="24"/>
          <w:szCs w:val="24"/>
        </w:rPr>
        <w:tab/>
      </w:r>
      <w:r w:rsidRPr="00A57305">
        <w:rPr>
          <w:rFonts w:ascii="Times New Roman" w:eastAsia="Calibri" w:hAnsi="Times New Roman" w:cs="Times New Roman"/>
          <w:b/>
          <w:sz w:val="24"/>
          <w:szCs w:val="24"/>
        </w:rPr>
        <w:tab/>
      </w:r>
      <w:r w:rsidRPr="00A57305">
        <w:rPr>
          <w:rFonts w:ascii="Times New Roman" w:eastAsia="Calibri" w:hAnsi="Times New Roman" w:cs="Times New Roman"/>
          <w:b/>
          <w:sz w:val="24"/>
          <w:szCs w:val="24"/>
        </w:rPr>
        <w:tab/>
      </w:r>
      <w:r w:rsidRPr="00A57305">
        <w:rPr>
          <w:rFonts w:ascii="Times New Roman" w:eastAsia="Calibri" w:hAnsi="Times New Roman" w:cs="Times New Roman"/>
          <w:b/>
          <w:sz w:val="24"/>
          <w:szCs w:val="24"/>
        </w:rPr>
        <w:tab/>
      </w:r>
      <w:bookmarkStart w:id="0" w:name="_Hlk174954843"/>
      <w:r w:rsidRPr="00A57305">
        <w:rPr>
          <w:rFonts w:ascii="Times New Roman" w:eastAsia="Calibri" w:hAnsi="Times New Roman" w:cs="Times New Roman"/>
          <w:b/>
          <w:smallCaps/>
          <w:sz w:val="24"/>
          <w:szCs w:val="24"/>
        </w:rPr>
        <w:t>General Counsel</w:t>
      </w:r>
      <w:bookmarkEnd w:id="0"/>
    </w:p>
    <w:p w14:paraId="44094A19" w14:textId="74BF64F8" w:rsidR="00EF29CA" w:rsidRPr="00A57305" w:rsidRDefault="00EF29CA" w:rsidP="00FD449A">
      <w:pPr>
        <w:spacing w:after="0" w:line="240" w:lineRule="auto"/>
        <w:jc w:val="both"/>
        <w:rPr>
          <w:rFonts w:ascii="Times New Roman" w:eastAsia="Calibri" w:hAnsi="Times New Roman" w:cs="Times New Roman"/>
          <w:b/>
          <w:sz w:val="24"/>
          <w:szCs w:val="24"/>
        </w:rPr>
      </w:pPr>
      <w:r w:rsidRPr="00A57305">
        <w:rPr>
          <w:rFonts w:ascii="Times New Roman" w:eastAsia="Calibri" w:hAnsi="Times New Roman" w:cs="Times New Roman"/>
          <w:b/>
          <w:sz w:val="24"/>
          <w:szCs w:val="24"/>
        </w:rPr>
        <w:tab/>
      </w:r>
      <w:r w:rsidRPr="00A57305">
        <w:rPr>
          <w:rFonts w:ascii="Times New Roman" w:eastAsia="Calibri" w:hAnsi="Times New Roman" w:cs="Times New Roman"/>
          <w:b/>
          <w:sz w:val="24"/>
          <w:szCs w:val="24"/>
        </w:rPr>
        <w:tab/>
      </w:r>
      <w:r w:rsidRPr="00A57305">
        <w:rPr>
          <w:rFonts w:ascii="Times New Roman" w:eastAsia="Calibri" w:hAnsi="Times New Roman" w:cs="Times New Roman"/>
          <w:b/>
          <w:sz w:val="24"/>
          <w:szCs w:val="24"/>
        </w:rPr>
        <w:tab/>
      </w:r>
      <w:r w:rsidRPr="00A57305">
        <w:rPr>
          <w:rFonts w:ascii="Times New Roman" w:eastAsia="Calibri" w:hAnsi="Times New Roman" w:cs="Times New Roman"/>
          <w:b/>
          <w:sz w:val="24"/>
          <w:szCs w:val="24"/>
        </w:rPr>
        <w:tab/>
      </w:r>
      <w:r w:rsidRPr="00A57305">
        <w:rPr>
          <w:rFonts w:ascii="Times New Roman" w:eastAsia="Calibri" w:hAnsi="Times New Roman" w:cs="Times New Roman"/>
          <w:b/>
          <w:sz w:val="24"/>
          <w:szCs w:val="24"/>
        </w:rPr>
        <w:tab/>
      </w:r>
      <w:r w:rsidRPr="00A57305">
        <w:rPr>
          <w:rFonts w:ascii="Times New Roman" w:eastAsia="Calibri" w:hAnsi="Times New Roman" w:cs="Times New Roman"/>
          <w:b/>
          <w:sz w:val="24"/>
          <w:szCs w:val="24"/>
        </w:rPr>
        <w:tab/>
      </w:r>
      <w:r w:rsidR="00580FF4" w:rsidRPr="00A57305">
        <w:rPr>
          <w:rFonts w:ascii="Times New Roman" w:eastAsia="Calibri" w:hAnsi="Times New Roman" w:cs="Times New Roman"/>
          <w:b/>
          <w:sz w:val="24"/>
          <w:szCs w:val="24"/>
        </w:rPr>
        <w:t>Kim Duffley</w:t>
      </w:r>
    </w:p>
    <w:p w14:paraId="4A734B72" w14:textId="77777777" w:rsidR="00580FF4" w:rsidRPr="00A57305" w:rsidRDefault="00EF29CA" w:rsidP="00FD449A">
      <w:pPr>
        <w:spacing w:after="0" w:line="240" w:lineRule="auto"/>
        <w:jc w:val="both"/>
        <w:rPr>
          <w:rFonts w:ascii="Times New Roman" w:eastAsia="Calibri" w:hAnsi="Times New Roman" w:cs="Times New Roman"/>
          <w:b/>
          <w:smallCaps/>
          <w:sz w:val="24"/>
          <w:szCs w:val="24"/>
        </w:rPr>
      </w:pPr>
      <w:r w:rsidRPr="00A57305">
        <w:rPr>
          <w:rFonts w:ascii="Times New Roman" w:eastAsia="Calibri" w:hAnsi="Times New Roman" w:cs="Times New Roman"/>
          <w:b/>
          <w:sz w:val="24"/>
          <w:szCs w:val="24"/>
        </w:rPr>
        <w:tab/>
      </w:r>
      <w:r w:rsidRPr="00A57305">
        <w:rPr>
          <w:rFonts w:ascii="Times New Roman" w:eastAsia="Calibri" w:hAnsi="Times New Roman" w:cs="Times New Roman"/>
          <w:b/>
          <w:sz w:val="24"/>
          <w:szCs w:val="24"/>
        </w:rPr>
        <w:tab/>
      </w:r>
      <w:r w:rsidRPr="00A57305">
        <w:rPr>
          <w:rFonts w:ascii="Times New Roman" w:eastAsia="Calibri" w:hAnsi="Times New Roman" w:cs="Times New Roman"/>
          <w:b/>
          <w:sz w:val="24"/>
          <w:szCs w:val="24"/>
        </w:rPr>
        <w:tab/>
      </w:r>
      <w:r w:rsidRPr="00A57305">
        <w:rPr>
          <w:rFonts w:ascii="Times New Roman" w:eastAsia="Calibri" w:hAnsi="Times New Roman" w:cs="Times New Roman"/>
          <w:b/>
          <w:sz w:val="24"/>
          <w:szCs w:val="24"/>
        </w:rPr>
        <w:tab/>
      </w:r>
      <w:r w:rsidRPr="00A57305">
        <w:rPr>
          <w:rFonts w:ascii="Times New Roman" w:eastAsia="Calibri" w:hAnsi="Times New Roman" w:cs="Times New Roman"/>
          <w:b/>
          <w:sz w:val="24"/>
          <w:szCs w:val="24"/>
        </w:rPr>
        <w:tab/>
      </w:r>
      <w:r w:rsidRPr="00A57305">
        <w:rPr>
          <w:rFonts w:ascii="Times New Roman" w:eastAsia="Calibri" w:hAnsi="Times New Roman" w:cs="Times New Roman"/>
          <w:b/>
          <w:sz w:val="24"/>
          <w:szCs w:val="24"/>
        </w:rPr>
        <w:tab/>
      </w:r>
      <w:r w:rsidR="00580FF4" w:rsidRPr="00A57305">
        <w:rPr>
          <w:rFonts w:ascii="Times New Roman" w:eastAsia="Calibri" w:hAnsi="Times New Roman" w:cs="Times New Roman"/>
          <w:b/>
          <w:smallCaps/>
          <w:sz w:val="24"/>
          <w:szCs w:val="24"/>
        </w:rPr>
        <w:t xml:space="preserve">Senior Director of Energy Policy </w:t>
      </w:r>
    </w:p>
    <w:p w14:paraId="336C8350" w14:textId="57B4B43C" w:rsidR="00EF29CA" w:rsidRPr="00A57305" w:rsidRDefault="00580FF4" w:rsidP="00580FF4">
      <w:pPr>
        <w:spacing w:after="0" w:line="240" w:lineRule="auto"/>
        <w:ind w:left="4320" w:firstLine="720"/>
        <w:jc w:val="both"/>
        <w:rPr>
          <w:rFonts w:ascii="Times New Roman" w:eastAsia="Calibri" w:hAnsi="Times New Roman" w:cs="Times New Roman"/>
          <w:b/>
          <w:smallCaps/>
          <w:sz w:val="24"/>
          <w:szCs w:val="24"/>
        </w:rPr>
      </w:pPr>
      <w:r w:rsidRPr="00A57305">
        <w:rPr>
          <w:rFonts w:ascii="Times New Roman" w:eastAsia="Calibri" w:hAnsi="Times New Roman" w:cs="Times New Roman"/>
          <w:b/>
          <w:smallCaps/>
          <w:sz w:val="24"/>
          <w:szCs w:val="24"/>
        </w:rPr>
        <w:t>and Legal</w:t>
      </w:r>
      <w:r w:rsidR="00EF29CA" w:rsidRPr="00A57305">
        <w:rPr>
          <w:rFonts w:ascii="Times New Roman" w:eastAsia="Calibri" w:hAnsi="Times New Roman" w:cs="Times New Roman"/>
          <w:b/>
          <w:smallCaps/>
          <w:sz w:val="24"/>
          <w:szCs w:val="24"/>
        </w:rPr>
        <w:t xml:space="preserve"> Counsel</w:t>
      </w:r>
    </w:p>
    <w:p w14:paraId="64F672EB" w14:textId="77777777" w:rsidR="00EF29CA" w:rsidRPr="00A57305" w:rsidRDefault="00EF29CA" w:rsidP="00FD449A">
      <w:pPr>
        <w:spacing w:after="0" w:line="240" w:lineRule="auto"/>
        <w:jc w:val="both"/>
        <w:rPr>
          <w:rFonts w:ascii="Times New Roman" w:eastAsia="Calibri" w:hAnsi="Times New Roman" w:cs="Times New Roman"/>
          <w:b/>
          <w:sz w:val="24"/>
          <w:szCs w:val="24"/>
        </w:rPr>
      </w:pPr>
      <w:r w:rsidRPr="00A57305">
        <w:rPr>
          <w:rFonts w:ascii="Times New Roman" w:eastAsia="Calibri" w:hAnsi="Times New Roman" w:cs="Times New Roman"/>
          <w:b/>
          <w:sz w:val="24"/>
          <w:szCs w:val="24"/>
        </w:rPr>
        <w:tab/>
      </w:r>
      <w:r w:rsidRPr="00A57305">
        <w:rPr>
          <w:rFonts w:ascii="Times New Roman" w:eastAsia="Calibri" w:hAnsi="Times New Roman" w:cs="Times New Roman"/>
          <w:b/>
          <w:sz w:val="24"/>
          <w:szCs w:val="24"/>
        </w:rPr>
        <w:tab/>
      </w:r>
      <w:r w:rsidRPr="00A57305">
        <w:rPr>
          <w:rFonts w:ascii="Times New Roman" w:eastAsia="Calibri" w:hAnsi="Times New Roman" w:cs="Times New Roman"/>
          <w:b/>
          <w:sz w:val="24"/>
          <w:szCs w:val="24"/>
        </w:rPr>
        <w:tab/>
      </w:r>
      <w:r w:rsidRPr="00A57305">
        <w:rPr>
          <w:rFonts w:ascii="Times New Roman" w:eastAsia="Calibri" w:hAnsi="Times New Roman" w:cs="Times New Roman"/>
          <w:b/>
          <w:sz w:val="24"/>
          <w:szCs w:val="24"/>
        </w:rPr>
        <w:tab/>
      </w:r>
      <w:r w:rsidRPr="00A57305">
        <w:rPr>
          <w:rFonts w:ascii="Times New Roman" w:eastAsia="Calibri" w:hAnsi="Times New Roman" w:cs="Times New Roman"/>
          <w:b/>
          <w:sz w:val="24"/>
          <w:szCs w:val="24"/>
        </w:rPr>
        <w:tab/>
      </w:r>
      <w:r w:rsidRPr="00A57305">
        <w:rPr>
          <w:rFonts w:ascii="Times New Roman" w:eastAsia="Calibri" w:hAnsi="Times New Roman" w:cs="Times New Roman"/>
          <w:b/>
          <w:sz w:val="24"/>
          <w:szCs w:val="24"/>
        </w:rPr>
        <w:tab/>
        <w:t>National Association of Regulatory</w:t>
      </w:r>
    </w:p>
    <w:p w14:paraId="5DA39FEC" w14:textId="77777777" w:rsidR="00EF29CA" w:rsidRPr="00A57305" w:rsidRDefault="00EF29CA" w:rsidP="00FD449A">
      <w:pPr>
        <w:spacing w:after="0" w:line="240" w:lineRule="auto"/>
        <w:jc w:val="both"/>
        <w:rPr>
          <w:rFonts w:ascii="Times New Roman" w:eastAsia="Calibri" w:hAnsi="Times New Roman" w:cs="Times New Roman"/>
          <w:b/>
          <w:sz w:val="24"/>
          <w:szCs w:val="24"/>
        </w:rPr>
      </w:pPr>
      <w:r w:rsidRPr="00A57305">
        <w:rPr>
          <w:rFonts w:ascii="Times New Roman" w:eastAsia="Calibri" w:hAnsi="Times New Roman" w:cs="Times New Roman"/>
          <w:b/>
          <w:sz w:val="24"/>
          <w:szCs w:val="24"/>
        </w:rPr>
        <w:tab/>
      </w:r>
      <w:r w:rsidRPr="00A57305">
        <w:rPr>
          <w:rFonts w:ascii="Times New Roman" w:eastAsia="Calibri" w:hAnsi="Times New Roman" w:cs="Times New Roman"/>
          <w:b/>
          <w:sz w:val="24"/>
          <w:szCs w:val="24"/>
        </w:rPr>
        <w:tab/>
      </w:r>
      <w:r w:rsidRPr="00A57305">
        <w:rPr>
          <w:rFonts w:ascii="Times New Roman" w:eastAsia="Calibri" w:hAnsi="Times New Roman" w:cs="Times New Roman"/>
          <w:b/>
          <w:sz w:val="24"/>
          <w:szCs w:val="24"/>
        </w:rPr>
        <w:tab/>
      </w:r>
      <w:r w:rsidRPr="00A57305">
        <w:rPr>
          <w:rFonts w:ascii="Times New Roman" w:eastAsia="Calibri" w:hAnsi="Times New Roman" w:cs="Times New Roman"/>
          <w:b/>
          <w:sz w:val="24"/>
          <w:szCs w:val="24"/>
        </w:rPr>
        <w:tab/>
      </w:r>
      <w:r w:rsidRPr="00A57305">
        <w:rPr>
          <w:rFonts w:ascii="Times New Roman" w:eastAsia="Calibri" w:hAnsi="Times New Roman" w:cs="Times New Roman"/>
          <w:b/>
          <w:sz w:val="24"/>
          <w:szCs w:val="24"/>
        </w:rPr>
        <w:tab/>
      </w:r>
      <w:r w:rsidRPr="00A57305">
        <w:rPr>
          <w:rFonts w:ascii="Times New Roman" w:eastAsia="Calibri" w:hAnsi="Times New Roman" w:cs="Times New Roman"/>
          <w:b/>
          <w:sz w:val="24"/>
          <w:szCs w:val="24"/>
        </w:rPr>
        <w:tab/>
      </w:r>
      <w:r w:rsidRPr="00A57305">
        <w:rPr>
          <w:rFonts w:ascii="Times New Roman" w:eastAsia="Calibri" w:hAnsi="Times New Roman" w:cs="Times New Roman"/>
          <w:b/>
          <w:sz w:val="24"/>
          <w:szCs w:val="24"/>
        </w:rPr>
        <w:tab/>
        <w:t>Utility Commissioners</w:t>
      </w:r>
    </w:p>
    <w:p w14:paraId="693B18EB" w14:textId="77777777" w:rsidR="00EF29CA" w:rsidRPr="00A57305" w:rsidRDefault="00EF29CA" w:rsidP="00FD449A">
      <w:pPr>
        <w:spacing w:after="0" w:line="240" w:lineRule="auto"/>
        <w:jc w:val="both"/>
        <w:rPr>
          <w:rFonts w:ascii="Times New Roman" w:eastAsia="Calibri" w:hAnsi="Times New Roman" w:cs="Times New Roman"/>
          <w:b/>
          <w:sz w:val="24"/>
          <w:szCs w:val="24"/>
        </w:rPr>
      </w:pPr>
      <w:r w:rsidRPr="00A57305">
        <w:rPr>
          <w:rFonts w:ascii="Times New Roman" w:eastAsia="Calibri" w:hAnsi="Times New Roman" w:cs="Times New Roman"/>
          <w:b/>
          <w:sz w:val="24"/>
          <w:szCs w:val="24"/>
        </w:rPr>
        <w:tab/>
      </w:r>
      <w:r w:rsidRPr="00A57305">
        <w:rPr>
          <w:rFonts w:ascii="Times New Roman" w:eastAsia="Calibri" w:hAnsi="Times New Roman" w:cs="Times New Roman"/>
          <w:b/>
          <w:sz w:val="24"/>
          <w:szCs w:val="24"/>
        </w:rPr>
        <w:tab/>
      </w:r>
      <w:r w:rsidRPr="00A57305">
        <w:rPr>
          <w:rFonts w:ascii="Times New Roman" w:eastAsia="Calibri" w:hAnsi="Times New Roman" w:cs="Times New Roman"/>
          <w:b/>
          <w:sz w:val="24"/>
          <w:szCs w:val="24"/>
        </w:rPr>
        <w:tab/>
      </w:r>
      <w:r w:rsidRPr="00A57305">
        <w:rPr>
          <w:rFonts w:ascii="Times New Roman" w:eastAsia="Calibri" w:hAnsi="Times New Roman" w:cs="Times New Roman"/>
          <w:b/>
          <w:sz w:val="24"/>
          <w:szCs w:val="24"/>
        </w:rPr>
        <w:tab/>
      </w:r>
      <w:r w:rsidRPr="00A57305">
        <w:rPr>
          <w:rFonts w:ascii="Times New Roman" w:eastAsia="Calibri" w:hAnsi="Times New Roman" w:cs="Times New Roman"/>
          <w:b/>
          <w:sz w:val="24"/>
          <w:szCs w:val="24"/>
        </w:rPr>
        <w:tab/>
      </w:r>
      <w:r w:rsidRPr="00A57305">
        <w:rPr>
          <w:rFonts w:ascii="Times New Roman" w:eastAsia="Calibri" w:hAnsi="Times New Roman" w:cs="Times New Roman"/>
          <w:b/>
          <w:sz w:val="24"/>
          <w:szCs w:val="24"/>
        </w:rPr>
        <w:tab/>
        <w:t>1101 Vermont Avenue, Suite 200</w:t>
      </w:r>
      <w:r w:rsidRPr="00A57305">
        <w:rPr>
          <w:rFonts w:ascii="Times New Roman" w:eastAsia="Calibri" w:hAnsi="Times New Roman" w:cs="Times New Roman"/>
          <w:b/>
          <w:sz w:val="24"/>
          <w:szCs w:val="24"/>
        </w:rPr>
        <w:tab/>
      </w:r>
    </w:p>
    <w:p w14:paraId="1B37D6B3" w14:textId="77777777" w:rsidR="00EF29CA" w:rsidRPr="00A57305" w:rsidRDefault="00EF29CA" w:rsidP="00FD449A">
      <w:pPr>
        <w:spacing w:after="0" w:line="240" w:lineRule="auto"/>
        <w:jc w:val="both"/>
        <w:rPr>
          <w:rFonts w:ascii="Times New Roman" w:eastAsia="Calibri" w:hAnsi="Times New Roman" w:cs="Times New Roman"/>
          <w:b/>
          <w:sz w:val="24"/>
          <w:szCs w:val="24"/>
        </w:rPr>
      </w:pPr>
      <w:r w:rsidRPr="00A57305">
        <w:rPr>
          <w:rFonts w:ascii="Times New Roman" w:eastAsia="Calibri" w:hAnsi="Times New Roman" w:cs="Times New Roman"/>
          <w:b/>
          <w:sz w:val="24"/>
          <w:szCs w:val="24"/>
        </w:rPr>
        <w:tab/>
      </w:r>
      <w:r w:rsidRPr="00A57305">
        <w:rPr>
          <w:rFonts w:ascii="Times New Roman" w:eastAsia="Calibri" w:hAnsi="Times New Roman" w:cs="Times New Roman"/>
          <w:b/>
          <w:sz w:val="24"/>
          <w:szCs w:val="24"/>
        </w:rPr>
        <w:tab/>
      </w:r>
      <w:r w:rsidRPr="00A57305">
        <w:rPr>
          <w:rFonts w:ascii="Times New Roman" w:eastAsia="Calibri" w:hAnsi="Times New Roman" w:cs="Times New Roman"/>
          <w:b/>
          <w:sz w:val="24"/>
          <w:szCs w:val="24"/>
        </w:rPr>
        <w:tab/>
      </w:r>
      <w:r w:rsidRPr="00A57305">
        <w:rPr>
          <w:rFonts w:ascii="Times New Roman" w:eastAsia="Calibri" w:hAnsi="Times New Roman" w:cs="Times New Roman"/>
          <w:b/>
          <w:sz w:val="24"/>
          <w:szCs w:val="24"/>
        </w:rPr>
        <w:tab/>
      </w:r>
      <w:r w:rsidRPr="00A57305">
        <w:rPr>
          <w:rFonts w:ascii="Times New Roman" w:eastAsia="Calibri" w:hAnsi="Times New Roman" w:cs="Times New Roman"/>
          <w:b/>
          <w:sz w:val="24"/>
          <w:szCs w:val="24"/>
        </w:rPr>
        <w:tab/>
      </w:r>
      <w:r w:rsidRPr="00A57305">
        <w:rPr>
          <w:rFonts w:ascii="Times New Roman" w:eastAsia="Calibri" w:hAnsi="Times New Roman" w:cs="Times New Roman"/>
          <w:b/>
          <w:sz w:val="24"/>
          <w:szCs w:val="24"/>
        </w:rPr>
        <w:tab/>
        <w:t>Washington, DC 20005</w:t>
      </w:r>
    </w:p>
    <w:p w14:paraId="48345703" w14:textId="77777777" w:rsidR="00EF29CA" w:rsidRPr="00A57305" w:rsidRDefault="00EF29CA" w:rsidP="00FD449A">
      <w:pPr>
        <w:spacing w:after="0" w:line="240" w:lineRule="auto"/>
        <w:jc w:val="both"/>
        <w:rPr>
          <w:rFonts w:ascii="Times New Roman" w:eastAsia="Calibri" w:hAnsi="Times New Roman" w:cs="Times New Roman"/>
          <w:b/>
          <w:sz w:val="24"/>
          <w:szCs w:val="24"/>
        </w:rPr>
      </w:pPr>
      <w:r w:rsidRPr="00A57305">
        <w:rPr>
          <w:rFonts w:ascii="Times New Roman" w:eastAsia="Calibri" w:hAnsi="Times New Roman" w:cs="Times New Roman"/>
          <w:b/>
          <w:sz w:val="24"/>
          <w:szCs w:val="24"/>
        </w:rPr>
        <w:tab/>
      </w:r>
      <w:r w:rsidRPr="00A57305">
        <w:rPr>
          <w:rFonts w:ascii="Times New Roman" w:eastAsia="Calibri" w:hAnsi="Times New Roman" w:cs="Times New Roman"/>
          <w:b/>
          <w:sz w:val="24"/>
          <w:szCs w:val="24"/>
        </w:rPr>
        <w:tab/>
      </w:r>
      <w:r w:rsidRPr="00A57305">
        <w:rPr>
          <w:rFonts w:ascii="Times New Roman" w:eastAsia="Calibri" w:hAnsi="Times New Roman" w:cs="Times New Roman"/>
          <w:b/>
          <w:sz w:val="24"/>
          <w:szCs w:val="24"/>
        </w:rPr>
        <w:tab/>
      </w:r>
      <w:r w:rsidRPr="00A57305">
        <w:rPr>
          <w:rFonts w:ascii="Times New Roman" w:eastAsia="Calibri" w:hAnsi="Times New Roman" w:cs="Times New Roman"/>
          <w:b/>
          <w:sz w:val="24"/>
          <w:szCs w:val="24"/>
        </w:rPr>
        <w:tab/>
      </w:r>
      <w:r w:rsidRPr="00A57305">
        <w:rPr>
          <w:rFonts w:ascii="Times New Roman" w:eastAsia="Calibri" w:hAnsi="Times New Roman" w:cs="Times New Roman"/>
          <w:b/>
          <w:sz w:val="24"/>
          <w:szCs w:val="24"/>
        </w:rPr>
        <w:tab/>
      </w:r>
      <w:r w:rsidRPr="00A57305">
        <w:rPr>
          <w:rFonts w:ascii="Times New Roman" w:eastAsia="Calibri" w:hAnsi="Times New Roman" w:cs="Times New Roman"/>
          <w:b/>
          <w:sz w:val="24"/>
          <w:szCs w:val="24"/>
        </w:rPr>
        <w:tab/>
        <w:t>PH:</w:t>
      </w:r>
      <w:r w:rsidRPr="00A57305">
        <w:rPr>
          <w:rFonts w:ascii="Times New Roman" w:eastAsia="Calibri" w:hAnsi="Times New Roman" w:cs="Times New Roman"/>
          <w:b/>
          <w:sz w:val="24"/>
          <w:szCs w:val="24"/>
        </w:rPr>
        <w:tab/>
        <w:t>202.898.2207</w:t>
      </w:r>
    </w:p>
    <w:p w14:paraId="1AFADA98" w14:textId="2DF4D756" w:rsidR="00EF29CA" w:rsidRPr="00A57305" w:rsidRDefault="00EF29CA" w:rsidP="00FD449A">
      <w:pPr>
        <w:autoSpaceDE w:val="0"/>
        <w:autoSpaceDN w:val="0"/>
        <w:adjustRightInd w:val="0"/>
        <w:spacing w:after="0" w:line="240" w:lineRule="auto"/>
        <w:jc w:val="both"/>
        <w:rPr>
          <w:rFonts w:ascii="Times New Roman" w:eastAsia="Calibri" w:hAnsi="Times New Roman" w:cs="Times New Roman"/>
          <w:color w:val="000000"/>
          <w:sz w:val="24"/>
          <w:szCs w:val="24"/>
        </w:rPr>
      </w:pPr>
      <w:r w:rsidRPr="00A57305">
        <w:rPr>
          <w:rFonts w:ascii="Times New Roman" w:eastAsia="Calibri" w:hAnsi="Times New Roman" w:cs="Times New Roman"/>
          <w:b/>
          <w:color w:val="000000"/>
          <w:sz w:val="24"/>
          <w:szCs w:val="24"/>
        </w:rPr>
        <w:tab/>
      </w:r>
      <w:r w:rsidRPr="00A57305">
        <w:rPr>
          <w:rFonts w:ascii="Times New Roman" w:eastAsia="Calibri" w:hAnsi="Times New Roman" w:cs="Times New Roman"/>
          <w:b/>
          <w:color w:val="000000"/>
          <w:sz w:val="24"/>
          <w:szCs w:val="24"/>
        </w:rPr>
        <w:tab/>
      </w:r>
      <w:r w:rsidRPr="00A57305">
        <w:rPr>
          <w:rFonts w:ascii="Times New Roman" w:eastAsia="Calibri" w:hAnsi="Times New Roman" w:cs="Times New Roman"/>
          <w:b/>
          <w:color w:val="000000"/>
          <w:sz w:val="24"/>
          <w:szCs w:val="24"/>
        </w:rPr>
        <w:tab/>
      </w:r>
      <w:r w:rsidRPr="00A57305">
        <w:rPr>
          <w:rFonts w:ascii="Times New Roman" w:eastAsia="Calibri" w:hAnsi="Times New Roman" w:cs="Times New Roman"/>
          <w:b/>
          <w:color w:val="000000"/>
          <w:sz w:val="24"/>
          <w:szCs w:val="24"/>
        </w:rPr>
        <w:tab/>
      </w:r>
      <w:r w:rsidRPr="00A57305">
        <w:rPr>
          <w:rFonts w:ascii="Times New Roman" w:eastAsia="Calibri" w:hAnsi="Times New Roman" w:cs="Times New Roman"/>
          <w:b/>
          <w:color w:val="000000"/>
          <w:sz w:val="24"/>
          <w:szCs w:val="24"/>
        </w:rPr>
        <w:tab/>
      </w:r>
      <w:r w:rsidRPr="00A57305">
        <w:rPr>
          <w:rFonts w:ascii="Times New Roman" w:eastAsia="Calibri" w:hAnsi="Times New Roman" w:cs="Times New Roman"/>
          <w:b/>
          <w:color w:val="000000"/>
          <w:sz w:val="24"/>
          <w:szCs w:val="24"/>
        </w:rPr>
        <w:tab/>
        <w:t>E-MAIL:</w:t>
      </w:r>
      <w:r w:rsidR="00580FF4" w:rsidRPr="00A57305">
        <w:rPr>
          <w:rFonts w:ascii="Times New Roman" w:eastAsia="Calibri" w:hAnsi="Times New Roman" w:cs="Times New Roman"/>
          <w:b/>
          <w:color w:val="000000"/>
          <w:sz w:val="24"/>
          <w:szCs w:val="24"/>
        </w:rPr>
        <w:t xml:space="preserve"> jramsay@naruc.org</w:t>
      </w:r>
      <w:hyperlink r:id="rId8" w:history="1"/>
    </w:p>
    <w:p w14:paraId="24A0BE28" w14:textId="77777777" w:rsidR="00EF29CA" w:rsidRPr="00A57305" w:rsidRDefault="00EF29CA" w:rsidP="00FD449A">
      <w:pPr>
        <w:autoSpaceDE w:val="0"/>
        <w:autoSpaceDN w:val="0"/>
        <w:adjustRightInd w:val="0"/>
        <w:spacing w:after="0" w:line="360" w:lineRule="auto"/>
        <w:jc w:val="both"/>
        <w:rPr>
          <w:rFonts w:ascii="Times New Roman" w:eastAsia="Calibri" w:hAnsi="Times New Roman" w:cs="Times New Roman"/>
          <w:bCs/>
          <w:color w:val="000000"/>
          <w:sz w:val="24"/>
          <w:szCs w:val="24"/>
        </w:rPr>
      </w:pPr>
    </w:p>
    <w:p w14:paraId="15DD772C" w14:textId="0C9AEC21" w:rsidR="00D91AA8" w:rsidRPr="00A57305" w:rsidRDefault="00EF29CA" w:rsidP="00580FF4">
      <w:pPr>
        <w:autoSpaceDE w:val="0"/>
        <w:autoSpaceDN w:val="0"/>
        <w:adjustRightInd w:val="0"/>
        <w:spacing w:after="0" w:line="360" w:lineRule="auto"/>
        <w:jc w:val="both"/>
        <w:rPr>
          <w:rFonts w:ascii="Times New Roman" w:hAnsi="Times New Roman" w:cs="Times New Roman"/>
          <w:sz w:val="24"/>
          <w:szCs w:val="24"/>
        </w:rPr>
      </w:pPr>
      <w:r w:rsidRPr="00A57305">
        <w:rPr>
          <w:rFonts w:ascii="Times New Roman" w:eastAsia="Calibri" w:hAnsi="Times New Roman" w:cs="Times New Roman"/>
          <w:bCs/>
          <w:color w:val="000000"/>
          <w:sz w:val="24"/>
          <w:szCs w:val="24"/>
        </w:rPr>
        <w:t xml:space="preserve">Dated: </w:t>
      </w:r>
      <w:r w:rsidR="00580FF4" w:rsidRPr="00A57305">
        <w:rPr>
          <w:rFonts w:ascii="Times New Roman" w:eastAsia="Calibri" w:hAnsi="Times New Roman" w:cs="Times New Roman"/>
          <w:bCs/>
          <w:color w:val="000000"/>
          <w:sz w:val="24"/>
          <w:szCs w:val="24"/>
        </w:rPr>
        <w:t>April 10</w:t>
      </w:r>
      <w:r w:rsidRPr="00A57305">
        <w:rPr>
          <w:rFonts w:ascii="Times New Roman" w:eastAsia="Calibri" w:hAnsi="Times New Roman" w:cs="Times New Roman"/>
          <w:bCs/>
          <w:color w:val="000000"/>
          <w:sz w:val="24"/>
          <w:szCs w:val="24"/>
        </w:rPr>
        <w:t>, 202</w:t>
      </w:r>
      <w:r w:rsidR="00580FF4" w:rsidRPr="00A57305">
        <w:rPr>
          <w:rFonts w:ascii="Times New Roman" w:eastAsia="Calibri" w:hAnsi="Times New Roman" w:cs="Times New Roman"/>
          <w:bCs/>
          <w:color w:val="000000"/>
          <w:sz w:val="24"/>
          <w:szCs w:val="24"/>
        </w:rPr>
        <w:t>5</w:t>
      </w:r>
    </w:p>
    <w:sectPr w:rsidR="00D91AA8" w:rsidRPr="00A57305" w:rsidSect="00EF29CA">
      <w:footerReference w:type="default" r:id="rId9"/>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A2A666" w14:textId="77777777" w:rsidR="00E579E7" w:rsidRDefault="00E579E7" w:rsidP="00EF29CA">
      <w:pPr>
        <w:spacing w:after="0" w:line="240" w:lineRule="auto"/>
      </w:pPr>
      <w:r>
        <w:separator/>
      </w:r>
    </w:p>
  </w:endnote>
  <w:endnote w:type="continuationSeparator" w:id="0">
    <w:p w14:paraId="28A71C7E" w14:textId="77777777" w:rsidR="00E579E7" w:rsidRDefault="00E579E7" w:rsidP="00EF29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altName w:val="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4514924"/>
      <w:docPartObj>
        <w:docPartGallery w:val="Page Numbers (Bottom of Page)"/>
        <w:docPartUnique/>
      </w:docPartObj>
    </w:sdtPr>
    <w:sdtEndPr>
      <w:rPr>
        <w:noProof/>
      </w:rPr>
    </w:sdtEndPr>
    <w:sdtContent>
      <w:p w14:paraId="6A80A525" w14:textId="77777777" w:rsidR="002E50E2" w:rsidRDefault="00A57305">
        <w:pPr>
          <w:pStyle w:val="Footer"/>
          <w:jc w:val="center"/>
        </w:pPr>
        <w:r>
          <w:fldChar w:fldCharType="begin"/>
        </w:r>
        <w:r>
          <w:instrText xml:space="preserve"> PAGE   \* MERGEFORMAT </w:instrText>
        </w:r>
        <w:r>
          <w:fldChar w:fldCharType="separate"/>
        </w:r>
        <w:r>
          <w:rPr>
            <w:noProof/>
          </w:rPr>
          <w:t>28</w:t>
        </w:r>
        <w:r>
          <w:rPr>
            <w:noProof/>
          </w:rPr>
          <w:fldChar w:fldCharType="end"/>
        </w:r>
      </w:p>
    </w:sdtContent>
  </w:sdt>
  <w:p w14:paraId="644C7347" w14:textId="77777777" w:rsidR="002E50E2" w:rsidRDefault="002E50E2">
    <w:pPr>
      <w:spacing w:after="0" w:line="200" w:lineRule="exact"/>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9E9D25" w14:textId="77777777" w:rsidR="00E579E7" w:rsidRDefault="00E579E7" w:rsidP="00EF29CA">
      <w:pPr>
        <w:spacing w:after="0" w:line="240" w:lineRule="auto"/>
      </w:pPr>
      <w:r>
        <w:separator/>
      </w:r>
    </w:p>
  </w:footnote>
  <w:footnote w:type="continuationSeparator" w:id="0">
    <w:p w14:paraId="7FF0E6E3" w14:textId="77777777" w:rsidR="00E579E7" w:rsidRDefault="00E579E7" w:rsidP="00EF29CA">
      <w:pPr>
        <w:spacing w:after="0" w:line="240" w:lineRule="auto"/>
      </w:pPr>
      <w:r>
        <w:continuationSeparator/>
      </w:r>
    </w:p>
  </w:footnote>
  <w:footnote w:id="1">
    <w:p w14:paraId="32272200" w14:textId="3BCA0B09" w:rsidR="00EF29CA" w:rsidRPr="007A1478" w:rsidRDefault="00EF29CA" w:rsidP="007A1478">
      <w:pPr>
        <w:spacing w:after="0" w:line="240" w:lineRule="auto"/>
        <w:jc w:val="both"/>
        <w:rPr>
          <w:rFonts w:ascii="Times New Roman" w:hAnsi="Times New Roman" w:cs="Times New Roman"/>
          <w:b/>
          <w:bCs/>
          <w:color w:val="0070C0"/>
          <w:sz w:val="21"/>
          <w:szCs w:val="21"/>
        </w:rPr>
      </w:pPr>
      <w:r w:rsidRPr="007A1478">
        <w:rPr>
          <w:rStyle w:val="FootnoteReference"/>
          <w:rFonts w:ascii="Times New Roman" w:hAnsi="Times New Roman" w:cs="Times New Roman"/>
          <w:sz w:val="21"/>
          <w:szCs w:val="21"/>
        </w:rPr>
        <w:footnoteRef/>
      </w:r>
      <w:r w:rsidRPr="007A1478">
        <w:rPr>
          <w:rFonts w:ascii="Times New Roman" w:hAnsi="Times New Roman" w:cs="Times New Roman"/>
          <w:sz w:val="21"/>
          <w:szCs w:val="21"/>
        </w:rPr>
        <w:t xml:space="preserve"> </w:t>
      </w:r>
      <w:r w:rsidRPr="007A1478">
        <w:rPr>
          <w:rFonts w:ascii="Times New Roman" w:hAnsi="Times New Roman" w:cs="Times New Roman"/>
          <w:sz w:val="21"/>
          <w:szCs w:val="21"/>
        </w:rPr>
        <w:tab/>
      </w:r>
      <w:r w:rsidR="00107D7D" w:rsidRPr="007A1478">
        <w:rPr>
          <w:rFonts w:ascii="Times New Roman" w:hAnsi="Times New Roman" w:cs="Times New Roman"/>
          <w:i/>
          <w:iCs/>
          <w:sz w:val="21"/>
          <w:szCs w:val="21"/>
        </w:rPr>
        <w:t>See,</w:t>
      </w:r>
      <w:r w:rsidR="00107D7D" w:rsidRPr="007A1478">
        <w:rPr>
          <w:rFonts w:ascii="Times New Roman" w:hAnsi="Times New Roman" w:cs="Times New Roman"/>
          <w:sz w:val="21"/>
          <w:szCs w:val="21"/>
        </w:rPr>
        <w:t xml:space="preserve"> “C</w:t>
      </w:r>
      <w:r w:rsidR="00F0047A" w:rsidRPr="007A1478">
        <w:rPr>
          <w:rFonts w:ascii="Times New Roman" w:hAnsi="Times New Roman" w:cs="Times New Roman"/>
          <w:sz w:val="21"/>
          <w:szCs w:val="21"/>
        </w:rPr>
        <w:t>onsumer and Governmental Affairs Bureau Seeks Comment on Petition for Declaratory Ruling filed by Edison Electric Institute</w:t>
      </w:r>
      <w:r w:rsidR="00107D7D" w:rsidRPr="007A1478">
        <w:rPr>
          <w:rFonts w:ascii="Times New Roman" w:hAnsi="Times New Roman" w:cs="Times New Roman"/>
          <w:sz w:val="21"/>
          <w:szCs w:val="21"/>
        </w:rPr>
        <w:t>” (DA No. 25-218), in CG Docket Nos</w:t>
      </w:r>
      <w:r w:rsidR="002E2ABF" w:rsidRPr="007A1478">
        <w:rPr>
          <w:rFonts w:ascii="Times New Roman" w:hAnsi="Times New Roman" w:cs="Times New Roman"/>
          <w:sz w:val="21"/>
          <w:szCs w:val="21"/>
        </w:rPr>
        <w:t>.</w:t>
      </w:r>
      <w:r w:rsidR="00107D7D" w:rsidRPr="007A1478">
        <w:rPr>
          <w:rFonts w:ascii="Times New Roman" w:hAnsi="Times New Roman" w:cs="Times New Roman"/>
          <w:sz w:val="21"/>
          <w:szCs w:val="21"/>
        </w:rPr>
        <w:t xml:space="preserve"> 02-278</w:t>
      </w:r>
      <w:r w:rsidR="002E2ABF" w:rsidRPr="007A1478">
        <w:rPr>
          <w:rFonts w:ascii="Times New Roman" w:hAnsi="Times New Roman" w:cs="Times New Roman"/>
          <w:sz w:val="21"/>
          <w:szCs w:val="21"/>
        </w:rPr>
        <w:t xml:space="preserve"> and</w:t>
      </w:r>
      <w:r w:rsidR="00107D7D" w:rsidRPr="007A1478">
        <w:rPr>
          <w:rFonts w:ascii="Times New Roman" w:hAnsi="Times New Roman" w:cs="Times New Roman"/>
          <w:sz w:val="21"/>
          <w:szCs w:val="21"/>
        </w:rPr>
        <w:t xml:space="preserve"> 21-402</w:t>
      </w:r>
      <w:r w:rsidR="00732F9B" w:rsidRPr="007A1478">
        <w:rPr>
          <w:rFonts w:ascii="Times New Roman" w:hAnsi="Times New Roman" w:cs="Times New Roman"/>
          <w:sz w:val="21"/>
          <w:szCs w:val="21"/>
        </w:rPr>
        <w:t>, available online at</w:t>
      </w:r>
      <w:r w:rsidR="00107D7D" w:rsidRPr="007A1478">
        <w:rPr>
          <w:rFonts w:ascii="Times New Roman" w:hAnsi="Times New Roman" w:cs="Times New Roman"/>
          <w:sz w:val="21"/>
          <w:szCs w:val="21"/>
        </w:rPr>
        <w:t xml:space="preserve"> </w:t>
      </w:r>
      <w:hyperlink r:id="rId1" w:history="1">
        <w:r w:rsidR="002E2ABF" w:rsidRPr="007A1478">
          <w:rPr>
            <w:rStyle w:val="Hyperlink"/>
            <w:rFonts w:ascii="Times New Roman" w:hAnsi="Times New Roman" w:cs="Times New Roman"/>
            <w:b/>
            <w:bCs/>
            <w:color w:val="0070C0"/>
            <w:sz w:val="21"/>
            <w:szCs w:val="21"/>
          </w:rPr>
          <w:t>https://docs.fcc.gov/public/attachments/DA-25-218A1.docx</w:t>
        </w:r>
      </w:hyperlink>
    </w:p>
    <w:p w14:paraId="12E3733F" w14:textId="77777777" w:rsidR="00F0047A" w:rsidRPr="007A1478" w:rsidRDefault="00F0047A" w:rsidP="007A1478">
      <w:pPr>
        <w:spacing w:after="0" w:line="240" w:lineRule="auto"/>
        <w:jc w:val="both"/>
        <w:rPr>
          <w:rFonts w:ascii="Times New Roman" w:hAnsi="Times New Roman" w:cs="Times New Roman"/>
          <w:sz w:val="21"/>
          <w:szCs w:val="21"/>
        </w:rPr>
      </w:pPr>
    </w:p>
  </w:footnote>
  <w:footnote w:id="2">
    <w:p w14:paraId="3D5F0AFE" w14:textId="3934A7E4" w:rsidR="00107D7D" w:rsidRPr="007A1478" w:rsidRDefault="00107D7D" w:rsidP="007A1478">
      <w:pPr>
        <w:pStyle w:val="FootnoteText"/>
        <w:jc w:val="both"/>
        <w:rPr>
          <w:rFonts w:ascii="Times New Roman" w:hAnsi="Times New Roman" w:cs="Times New Roman"/>
          <w:b/>
          <w:bCs/>
          <w:iCs/>
          <w:snapToGrid w:val="0"/>
          <w:color w:val="0070C0"/>
          <w:sz w:val="21"/>
          <w:szCs w:val="21"/>
        </w:rPr>
      </w:pPr>
      <w:r w:rsidRPr="007A1478">
        <w:rPr>
          <w:rStyle w:val="FootnoteReference"/>
          <w:rFonts w:ascii="Times New Roman" w:hAnsi="Times New Roman" w:cs="Times New Roman"/>
          <w:sz w:val="21"/>
          <w:szCs w:val="21"/>
        </w:rPr>
        <w:footnoteRef/>
      </w:r>
      <w:r w:rsidRPr="007A1478">
        <w:rPr>
          <w:rFonts w:ascii="Times New Roman" w:hAnsi="Times New Roman" w:cs="Times New Roman"/>
          <w:sz w:val="21"/>
          <w:szCs w:val="21"/>
        </w:rPr>
        <w:t xml:space="preserve"> </w:t>
      </w:r>
      <w:r w:rsidR="002E2ABF" w:rsidRPr="007A1478">
        <w:rPr>
          <w:rFonts w:ascii="Times New Roman" w:hAnsi="Times New Roman" w:cs="Times New Roman"/>
          <w:sz w:val="21"/>
          <w:szCs w:val="21"/>
        </w:rPr>
        <w:tab/>
      </w:r>
      <w:r w:rsidR="002E2ABF" w:rsidRPr="007A1478">
        <w:rPr>
          <w:rFonts w:ascii="Times New Roman" w:hAnsi="Times New Roman" w:cs="Times New Roman"/>
          <w:i/>
          <w:iCs/>
          <w:sz w:val="21"/>
          <w:szCs w:val="21"/>
        </w:rPr>
        <w:t xml:space="preserve">See. </w:t>
      </w:r>
      <w:r w:rsidR="002E2ABF" w:rsidRPr="007A1478">
        <w:rPr>
          <w:rFonts w:ascii="Times New Roman" w:hAnsi="Times New Roman" w:cs="Times New Roman"/>
          <w:i/>
          <w:iCs/>
          <w:snapToGrid w:val="0"/>
          <w:sz w:val="21"/>
          <w:szCs w:val="21"/>
        </w:rPr>
        <w:t xml:space="preserve">Petition for Declaratory Ruling of the Edison Electric Institute, </w:t>
      </w:r>
      <w:r w:rsidR="002E2ABF" w:rsidRPr="007A1478">
        <w:rPr>
          <w:rFonts w:ascii="Times New Roman" w:hAnsi="Times New Roman" w:cs="Times New Roman"/>
          <w:snapToGrid w:val="0"/>
          <w:sz w:val="21"/>
          <w:szCs w:val="21"/>
        </w:rPr>
        <w:t>CG Docket No. 02-278, at iii (filed Mar. 10, 2025) (</w:t>
      </w:r>
      <w:r w:rsidR="002E2ABF" w:rsidRPr="007A1478">
        <w:rPr>
          <w:rFonts w:ascii="Times New Roman" w:hAnsi="Times New Roman" w:cs="Times New Roman"/>
          <w:iCs/>
          <w:snapToGrid w:val="0"/>
          <w:sz w:val="21"/>
          <w:szCs w:val="21"/>
        </w:rPr>
        <w:t xml:space="preserve">Petition). available online at: </w:t>
      </w:r>
      <w:hyperlink r:id="rId2" w:history="1">
        <w:r w:rsidR="002E2ABF" w:rsidRPr="007A1478">
          <w:rPr>
            <w:rStyle w:val="Hyperlink"/>
            <w:rFonts w:ascii="Times New Roman" w:hAnsi="Times New Roman" w:cs="Times New Roman"/>
            <w:b/>
            <w:bCs/>
            <w:iCs/>
            <w:snapToGrid w:val="0"/>
            <w:color w:val="0070C0"/>
            <w:sz w:val="21"/>
            <w:szCs w:val="21"/>
          </w:rPr>
          <w:t>https://www.fcc.gov/ecfs/document/10307392011716/1</w:t>
        </w:r>
      </w:hyperlink>
      <w:r w:rsidR="002E2ABF" w:rsidRPr="007A1478">
        <w:rPr>
          <w:rFonts w:ascii="Times New Roman" w:hAnsi="Times New Roman" w:cs="Times New Roman"/>
          <w:b/>
          <w:bCs/>
          <w:iCs/>
          <w:snapToGrid w:val="0"/>
          <w:color w:val="0070C0"/>
          <w:sz w:val="21"/>
          <w:szCs w:val="21"/>
        </w:rPr>
        <w:t xml:space="preserve"> </w:t>
      </w:r>
    </w:p>
    <w:p w14:paraId="6A0252D5" w14:textId="77777777" w:rsidR="00732F9B" w:rsidRPr="007A1478" w:rsidRDefault="00732F9B" w:rsidP="007A1478">
      <w:pPr>
        <w:pStyle w:val="FootnoteText"/>
        <w:jc w:val="both"/>
        <w:rPr>
          <w:rFonts w:ascii="Times New Roman" w:hAnsi="Times New Roman" w:cs="Times New Roman"/>
          <w:sz w:val="21"/>
          <w:szCs w:val="21"/>
        </w:rPr>
      </w:pPr>
    </w:p>
  </w:footnote>
  <w:footnote w:id="3">
    <w:p w14:paraId="551C6B55" w14:textId="00554833" w:rsidR="00D936A5" w:rsidRPr="007A1478" w:rsidRDefault="00D936A5" w:rsidP="007A1478">
      <w:pPr>
        <w:pStyle w:val="FootnoteText"/>
        <w:jc w:val="both"/>
        <w:rPr>
          <w:rFonts w:ascii="Times New Roman" w:hAnsi="Times New Roman" w:cs="Times New Roman"/>
          <w:sz w:val="21"/>
          <w:szCs w:val="21"/>
        </w:rPr>
      </w:pPr>
      <w:r w:rsidRPr="007A1478">
        <w:rPr>
          <w:rStyle w:val="FootnoteReference"/>
          <w:rFonts w:ascii="Times New Roman" w:hAnsi="Times New Roman" w:cs="Times New Roman"/>
          <w:sz w:val="21"/>
          <w:szCs w:val="21"/>
        </w:rPr>
        <w:footnoteRef/>
      </w:r>
      <w:r w:rsidRPr="007A1478">
        <w:rPr>
          <w:rFonts w:ascii="Times New Roman" w:hAnsi="Times New Roman" w:cs="Times New Roman"/>
          <w:sz w:val="21"/>
          <w:szCs w:val="21"/>
        </w:rPr>
        <w:t xml:space="preserve"> </w:t>
      </w:r>
      <w:r w:rsidRPr="007A1478">
        <w:rPr>
          <w:rFonts w:ascii="Times New Roman" w:hAnsi="Times New Roman" w:cs="Times New Roman"/>
          <w:sz w:val="21"/>
          <w:szCs w:val="21"/>
        </w:rPr>
        <w:tab/>
      </w:r>
      <w:r w:rsidRPr="007A1478">
        <w:rPr>
          <w:rFonts w:ascii="Times New Roman" w:hAnsi="Times New Roman" w:cs="Times New Roman"/>
          <w:i/>
          <w:snapToGrid w:val="0"/>
          <w:sz w:val="21"/>
          <w:szCs w:val="21"/>
        </w:rPr>
        <w:t>Id.</w:t>
      </w:r>
      <w:r w:rsidRPr="007A1478">
        <w:rPr>
          <w:rFonts w:ascii="Times New Roman" w:hAnsi="Times New Roman" w:cs="Times New Roman"/>
          <w:iCs/>
          <w:snapToGrid w:val="0"/>
          <w:sz w:val="21"/>
          <w:szCs w:val="21"/>
        </w:rPr>
        <w:t xml:space="preserve"> at 3-4,</w:t>
      </w:r>
    </w:p>
  </w:footnote>
  <w:footnote w:id="4">
    <w:p w14:paraId="65821059" w14:textId="77777777" w:rsidR="00D936A5" w:rsidRPr="007A1478" w:rsidRDefault="00D936A5" w:rsidP="007A1478">
      <w:pPr>
        <w:pStyle w:val="FootnoteText"/>
        <w:jc w:val="both"/>
        <w:rPr>
          <w:rFonts w:ascii="Times New Roman" w:hAnsi="Times New Roman" w:cs="Times New Roman"/>
          <w:sz w:val="21"/>
          <w:szCs w:val="21"/>
        </w:rPr>
      </w:pPr>
    </w:p>
    <w:p w14:paraId="1050847B" w14:textId="62BF71EA" w:rsidR="008D5BAD" w:rsidRPr="007A1478" w:rsidRDefault="008D5BAD" w:rsidP="007A1478">
      <w:pPr>
        <w:pStyle w:val="FootnoteText"/>
        <w:jc w:val="both"/>
        <w:rPr>
          <w:rFonts w:ascii="Times New Roman" w:hAnsi="Times New Roman" w:cs="Times New Roman"/>
          <w:sz w:val="21"/>
          <w:szCs w:val="21"/>
        </w:rPr>
      </w:pPr>
      <w:r w:rsidRPr="007A1478">
        <w:rPr>
          <w:rStyle w:val="FootnoteReference"/>
          <w:rFonts w:ascii="Times New Roman" w:hAnsi="Times New Roman" w:cs="Times New Roman"/>
          <w:sz w:val="21"/>
          <w:szCs w:val="21"/>
        </w:rPr>
        <w:footnoteRef/>
      </w:r>
      <w:r w:rsidRPr="007A1478">
        <w:rPr>
          <w:rFonts w:ascii="Times New Roman" w:hAnsi="Times New Roman" w:cs="Times New Roman"/>
          <w:sz w:val="21"/>
          <w:szCs w:val="21"/>
        </w:rPr>
        <w:t xml:space="preserve"> </w:t>
      </w:r>
      <w:r w:rsidRPr="007A1478">
        <w:rPr>
          <w:rFonts w:ascii="Times New Roman" w:hAnsi="Times New Roman" w:cs="Times New Roman"/>
          <w:sz w:val="21"/>
          <w:szCs w:val="21"/>
        </w:rPr>
        <w:tab/>
      </w:r>
      <w:r w:rsidRPr="007A1478">
        <w:rPr>
          <w:rFonts w:ascii="Times New Roman" w:hAnsi="Times New Roman" w:cs="Times New Roman"/>
          <w:i/>
          <w:iCs/>
          <w:sz w:val="21"/>
          <w:szCs w:val="21"/>
        </w:rPr>
        <w:t xml:space="preserve">See, </w:t>
      </w:r>
      <w:r w:rsidRPr="007A1478">
        <w:rPr>
          <w:rFonts w:ascii="Times New Roman" w:eastAsia="Calibri" w:hAnsi="Times New Roman" w:cs="Times New Roman"/>
          <w:bCs/>
          <w:i/>
          <w:iCs/>
          <w:color w:val="000000"/>
          <w:sz w:val="21"/>
          <w:szCs w:val="21"/>
        </w:rPr>
        <w:t xml:space="preserve">Resolution on Utility Demand Response Communications </w:t>
      </w:r>
      <w:r w:rsidRPr="007A1478">
        <w:rPr>
          <w:rFonts w:ascii="Times New Roman" w:eastAsia="Calibri" w:hAnsi="Times New Roman" w:cs="Times New Roman"/>
          <w:bCs/>
          <w:color w:val="000000"/>
          <w:sz w:val="21"/>
          <w:szCs w:val="21"/>
        </w:rPr>
        <w:t>(</w:t>
      </w:r>
      <w:r w:rsidR="00E15CB6" w:rsidRPr="007A1478">
        <w:rPr>
          <w:rFonts w:ascii="Times New Roman" w:eastAsia="Calibri" w:hAnsi="Times New Roman" w:cs="Times New Roman"/>
          <w:bCs/>
          <w:color w:val="000000"/>
          <w:sz w:val="21"/>
          <w:szCs w:val="21"/>
        </w:rPr>
        <w:t xml:space="preserve">February 26, 2025) </w:t>
      </w:r>
      <w:r w:rsidR="00732F9B" w:rsidRPr="007A1478">
        <w:rPr>
          <w:rFonts w:ascii="Times New Roman" w:eastAsia="Calibri" w:hAnsi="Times New Roman" w:cs="Times New Roman"/>
          <w:bCs/>
          <w:color w:val="000000"/>
          <w:sz w:val="21"/>
          <w:szCs w:val="21"/>
        </w:rPr>
        <w:t xml:space="preserve">available </w:t>
      </w:r>
      <w:r w:rsidR="00E15CB6" w:rsidRPr="007A1478">
        <w:rPr>
          <w:rFonts w:ascii="Times New Roman" w:eastAsia="Calibri" w:hAnsi="Times New Roman" w:cs="Times New Roman"/>
          <w:bCs/>
          <w:color w:val="000000"/>
          <w:sz w:val="21"/>
          <w:szCs w:val="21"/>
        </w:rPr>
        <w:t xml:space="preserve">online at: </w:t>
      </w:r>
      <w:hyperlink r:id="rId3" w:history="1">
        <w:r w:rsidR="00732F9B" w:rsidRPr="007A1478">
          <w:rPr>
            <w:rStyle w:val="Hyperlink"/>
            <w:rFonts w:ascii="Times New Roman" w:eastAsia="Calibri" w:hAnsi="Times New Roman" w:cs="Times New Roman"/>
            <w:b/>
            <w:color w:val="0070C0"/>
            <w:sz w:val="21"/>
            <w:szCs w:val="21"/>
          </w:rPr>
          <w:t>https://pubs.naruc.org/pub/A37E3860-ECFF-DBA3-13A7-BA3B120910C2</w:t>
        </w:r>
      </w:hyperlink>
      <w:r w:rsidR="00732F9B" w:rsidRPr="007A1478">
        <w:rPr>
          <w:rFonts w:ascii="Times New Roman" w:hAnsi="Times New Roman" w:cs="Times New Roman"/>
          <w:b/>
          <w:color w:val="0070C0"/>
          <w:sz w:val="21"/>
          <w:szCs w:val="21"/>
        </w:rPr>
        <w:t xml:space="preserve"> </w:t>
      </w:r>
    </w:p>
  </w:footnote>
  <w:footnote w:id="5">
    <w:p w14:paraId="458EDB6E" w14:textId="77777777" w:rsidR="00EF29CA" w:rsidRPr="007A1478" w:rsidRDefault="00EF29CA" w:rsidP="007A1478">
      <w:pPr>
        <w:autoSpaceDE w:val="0"/>
        <w:autoSpaceDN w:val="0"/>
        <w:adjustRightInd w:val="0"/>
        <w:spacing w:after="0" w:line="240" w:lineRule="auto"/>
        <w:jc w:val="both"/>
        <w:rPr>
          <w:rFonts w:ascii="Times New Roman" w:hAnsi="Times New Roman" w:cs="Times New Roman"/>
          <w:sz w:val="21"/>
          <w:szCs w:val="21"/>
        </w:rPr>
      </w:pPr>
      <w:r w:rsidRPr="007A1478">
        <w:rPr>
          <w:rStyle w:val="FootnoteReference"/>
          <w:rFonts w:ascii="Times New Roman" w:hAnsi="Times New Roman" w:cs="Times New Roman"/>
          <w:sz w:val="21"/>
          <w:szCs w:val="21"/>
        </w:rPr>
        <w:footnoteRef/>
      </w:r>
      <w:r w:rsidRPr="007A1478">
        <w:rPr>
          <w:rFonts w:ascii="Times New Roman" w:hAnsi="Times New Roman" w:cs="Times New Roman"/>
          <w:sz w:val="21"/>
          <w:szCs w:val="21"/>
        </w:rPr>
        <w:t xml:space="preserve"> </w:t>
      </w:r>
      <w:r w:rsidRPr="007A1478">
        <w:rPr>
          <w:rFonts w:ascii="Times New Roman" w:hAnsi="Times New Roman" w:cs="Times New Roman"/>
          <w:sz w:val="21"/>
          <w:szCs w:val="21"/>
        </w:rPr>
        <w:tab/>
      </w:r>
      <w:r w:rsidRPr="007A1478">
        <w:rPr>
          <w:rFonts w:ascii="Times New Roman" w:hAnsi="Times New Roman" w:cs="Times New Roman"/>
          <w:i/>
          <w:sz w:val="21"/>
          <w:szCs w:val="21"/>
        </w:rPr>
        <w:t>See</w:t>
      </w:r>
      <w:r w:rsidRPr="007A1478">
        <w:rPr>
          <w:rFonts w:ascii="Times New Roman" w:hAnsi="Times New Roman" w:cs="Times New Roman"/>
          <w:sz w:val="21"/>
          <w:szCs w:val="21"/>
        </w:rPr>
        <w:t xml:space="preserve"> 47 U.S.C. §410(c) (1971)</w:t>
      </w:r>
      <w:r w:rsidRPr="007A1478">
        <w:rPr>
          <w:rFonts w:ascii="Times New Roman" w:hAnsi="Times New Roman" w:cs="Times New Roman"/>
          <w:sz w:val="21"/>
          <w:szCs w:val="21"/>
        </w:rPr>
        <w:fldChar w:fldCharType="begin"/>
      </w:r>
      <w:r w:rsidRPr="007A1478">
        <w:rPr>
          <w:rFonts w:ascii="Times New Roman" w:hAnsi="Times New Roman" w:cs="Times New Roman"/>
          <w:sz w:val="21"/>
          <w:szCs w:val="21"/>
        </w:rPr>
        <w:instrText xml:space="preserve"> TA \l "47 U.S.C. § 410(c) (1971)" \s "47 U.S.C. § 410(c) (1971)" \c 3 </w:instrText>
      </w:r>
      <w:r w:rsidRPr="007A1478">
        <w:rPr>
          <w:rFonts w:ascii="Times New Roman" w:hAnsi="Times New Roman" w:cs="Times New Roman"/>
          <w:sz w:val="21"/>
          <w:szCs w:val="21"/>
        </w:rPr>
        <w:fldChar w:fldCharType="end"/>
      </w:r>
      <w:r w:rsidRPr="007A1478">
        <w:rPr>
          <w:rFonts w:ascii="Times New Roman" w:hAnsi="Times New Roman" w:cs="Times New Roman"/>
          <w:sz w:val="21"/>
          <w:szCs w:val="21"/>
        </w:rPr>
        <w:t xml:space="preserve"> (Congress designated NARUC to nominate members of Federal-State Joint Board to consider issues of common concern); </w:t>
      </w:r>
      <w:r w:rsidRPr="007A1478">
        <w:rPr>
          <w:rFonts w:ascii="Times New Roman" w:hAnsi="Times New Roman" w:cs="Times New Roman"/>
          <w:i/>
          <w:sz w:val="21"/>
          <w:szCs w:val="21"/>
        </w:rPr>
        <w:t>see also</w:t>
      </w:r>
      <w:r w:rsidRPr="007A1478">
        <w:rPr>
          <w:rFonts w:ascii="Times New Roman" w:hAnsi="Times New Roman" w:cs="Times New Roman"/>
          <w:sz w:val="21"/>
          <w:szCs w:val="21"/>
        </w:rPr>
        <w:t xml:space="preserve"> 47 U.S.C. §254 (1996)</w:t>
      </w:r>
      <w:r w:rsidRPr="007A1478">
        <w:rPr>
          <w:rFonts w:ascii="Times New Roman" w:hAnsi="Times New Roman" w:cs="Times New Roman"/>
          <w:sz w:val="21"/>
          <w:szCs w:val="21"/>
        </w:rPr>
        <w:fldChar w:fldCharType="begin"/>
      </w:r>
      <w:r w:rsidRPr="007A1478">
        <w:rPr>
          <w:rFonts w:ascii="Times New Roman" w:hAnsi="Times New Roman" w:cs="Times New Roman"/>
          <w:sz w:val="21"/>
          <w:szCs w:val="21"/>
        </w:rPr>
        <w:instrText xml:space="preserve"> TA \l "47 U.S.C. § 254 (1996)" \s "47 U.S.C. § 254 (1996)" \c 3 </w:instrText>
      </w:r>
      <w:r w:rsidRPr="007A1478">
        <w:rPr>
          <w:rFonts w:ascii="Times New Roman" w:hAnsi="Times New Roman" w:cs="Times New Roman"/>
          <w:sz w:val="21"/>
          <w:szCs w:val="21"/>
        </w:rPr>
        <w:fldChar w:fldCharType="end"/>
      </w:r>
      <w:r w:rsidRPr="007A1478">
        <w:rPr>
          <w:rFonts w:ascii="Times New Roman" w:hAnsi="Times New Roman" w:cs="Times New Roman"/>
          <w:sz w:val="21"/>
          <w:szCs w:val="21"/>
        </w:rPr>
        <w:t xml:space="preserve">; </w:t>
      </w:r>
      <w:r w:rsidRPr="007A1478">
        <w:rPr>
          <w:rFonts w:ascii="Times New Roman" w:hAnsi="Times New Roman" w:cs="Times New Roman"/>
          <w:i/>
          <w:sz w:val="21"/>
          <w:szCs w:val="21"/>
        </w:rPr>
        <w:t>see also</w:t>
      </w:r>
      <w:r w:rsidRPr="007A1478">
        <w:rPr>
          <w:rFonts w:ascii="Times New Roman" w:hAnsi="Times New Roman" w:cs="Times New Roman"/>
          <w:sz w:val="21"/>
          <w:szCs w:val="21"/>
        </w:rPr>
        <w:t xml:space="preserve"> </w:t>
      </w:r>
      <w:r w:rsidRPr="007A1478">
        <w:rPr>
          <w:rFonts w:ascii="Times New Roman" w:hAnsi="Times New Roman" w:cs="Times New Roman"/>
          <w:i/>
          <w:sz w:val="21"/>
          <w:szCs w:val="21"/>
        </w:rPr>
        <w:t>NARUC, et al. v. ICC</w:t>
      </w:r>
      <w:r w:rsidRPr="007A1478">
        <w:rPr>
          <w:rFonts w:ascii="Times New Roman" w:hAnsi="Times New Roman" w:cs="Times New Roman"/>
          <w:sz w:val="21"/>
          <w:szCs w:val="21"/>
        </w:rPr>
        <w:t>, 41 F.3d 721 (D.C. Cir 1994)</w:t>
      </w:r>
      <w:r w:rsidRPr="007A1478">
        <w:rPr>
          <w:rFonts w:ascii="Times New Roman" w:hAnsi="Times New Roman" w:cs="Times New Roman"/>
          <w:sz w:val="21"/>
          <w:szCs w:val="21"/>
        </w:rPr>
        <w:fldChar w:fldCharType="begin"/>
      </w:r>
      <w:r w:rsidRPr="007A1478">
        <w:rPr>
          <w:rFonts w:ascii="Times New Roman" w:hAnsi="Times New Roman" w:cs="Times New Roman"/>
          <w:sz w:val="21"/>
          <w:szCs w:val="21"/>
        </w:rPr>
        <w:instrText xml:space="preserve"> TA \l "</w:instrText>
      </w:r>
      <w:r w:rsidRPr="007A1478">
        <w:rPr>
          <w:rFonts w:ascii="Times New Roman" w:hAnsi="Times New Roman" w:cs="Times New Roman"/>
          <w:i/>
          <w:sz w:val="21"/>
          <w:szCs w:val="21"/>
        </w:rPr>
        <w:instrText>NARUC, et al. v. ICC</w:instrText>
      </w:r>
      <w:r w:rsidRPr="007A1478">
        <w:rPr>
          <w:rFonts w:ascii="Times New Roman" w:hAnsi="Times New Roman" w:cs="Times New Roman"/>
          <w:sz w:val="21"/>
          <w:szCs w:val="21"/>
        </w:rPr>
        <w:instrText xml:space="preserve">, 41 F.3d 721 (D.C. Cir 1994)" \s "NARUC, et al. v. ICC, 41 F.3d 721 (D.C. Cir 1994)" \c 1 </w:instrText>
      </w:r>
      <w:r w:rsidRPr="007A1478">
        <w:rPr>
          <w:rFonts w:ascii="Times New Roman" w:hAnsi="Times New Roman" w:cs="Times New Roman"/>
          <w:sz w:val="21"/>
          <w:szCs w:val="21"/>
        </w:rPr>
        <w:fldChar w:fldCharType="end"/>
      </w:r>
      <w:r w:rsidRPr="007A1478">
        <w:rPr>
          <w:rFonts w:ascii="Times New Roman" w:hAnsi="Times New Roman" w:cs="Times New Roman"/>
          <w:sz w:val="21"/>
          <w:szCs w:val="21"/>
        </w:rPr>
        <w:t xml:space="preserve"> (explaining that “[c]</w:t>
      </w:r>
      <w:proofErr w:type="spellStart"/>
      <w:r w:rsidRPr="007A1478">
        <w:rPr>
          <w:rFonts w:ascii="Times New Roman" w:hAnsi="Times New Roman" w:cs="Times New Roman"/>
          <w:sz w:val="21"/>
          <w:szCs w:val="21"/>
        </w:rPr>
        <w:t>arriers</w:t>
      </w:r>
      <w:proofErr w:type="spellEnd"/>
      <w:r w:rsidRPr="007A1478">
        <w:rPr>
          <w:rFonts w:ascii="Times New Roman" w:hAnsi="Times New Roman" w:cs="Times New Roman"/>
          <w:sz w:val="21"/>
          <w:szCs w:val="21"/>
        </w:rPr>
        <w:t xml:space="preserve">, to get the cards, applied to . . . [NARUC], an interstate umbrella organization that, as envisioned by Congress, played a role in drafting the regulations that the ICC issued to create the "bingo card" system”). </w:t>
      </w:r>
    </w:p>
    <w:p w14:paraId="1484DA3D" w14:textId="77777777" w:rsidR="00EF29CA" w:rsidRPr="007A1478" w:rsidRDefault="00EF29CA" w:rsidP="007A1478">
      <w:pPr>
        <w:autoSpaceDE w:val="0"/>
        <w:autoSpaceDN w:val="0"/>
        <w:adjustRightInd w:val="0"/>
        <w:spacing w:after="0" w:line="240" w:lineRule="auto"/>
        <w:jc w:val="both"/>
        <w:rPr>
          <w:rFonts w:ascii="Times New Roman" w:hAnsi="Times New Roman" w:cs="Times New Roman"/>
          <w:sz w:val="21"/>
          <w:szCs w:val="21"/>
        </w:rPr>
      </w:pPr>
    </w:p>
  </w:footnote>
  <w:footnote w:id="6">
    <w:p w14:paraId="47B51061" w14:textId="77777777" w:rsidR="00EF29CA" w:rsidRPr="007A1478" w:rsidRDefault="00EF29CA" w:rsidP="007A1478">
      <w:pPr>
        <w:autoSpaceDE w:val="0"/>
        <w:autoSpaceDN w:val="0"/>
        <w:adjustRightInd w:val="0"/>
        <w:spacing w:after="0" w:line="240" w:lineRule="auto"/>
        <w:jc w:val="both"/>
        <w:rPr>
          <w:rFonts w:ascii="Times New Roman" w:hAnsi="Times New Roman" w:cs="Times New Roman"/>
          <w:sz w:val="21"/>
          <w:szCs w:val="21"/>
        </w:rPr>
      </w:pPr>
      <w:r w:rsidRPr="007A1478">
        <w:rPr>
          <w:rStyle w:val="FootnoteReference"/>
          <w:rFonts w:ascii="Times New Roman" w:hAnsi="Times New Roman" w:cs="Times New Roman"/>
          <w:sz w:val="21"/>
          <w:szCs w:val="21"/>
        </w:rPr>
        <w:footnoteRef/>
      </w:r>
      <w:r w:rsidRPr="007A1478">
        <w:rPr>
          <w:rFonts w:ascii="Times New Roman" w:hAnsi="Times New Roman" w:cs="Times New Roman"/>
          <w:sz w:val="21"/>
          <w:szCs w:val="21"/>
        </w:rPr>
        <w:t xml:space="preserve"> </w:t>
      </w:r>
      <w:r w:rsidRPr="007A1478">
        <w:rPr>
          <w:rFonts w:ascii="Times New Roman" w:hAnsi="Times New Roman" w:cs="Times New Roman"/>
          <w:i/>
          <w:sz w:val="21"/>
          <w:szCs w:val="21"/>
        </w:rPr>
        <w:tab/>
        <w:t>See, e.g</w:t>
      </w:r>
      <w:r w:rsidRPr="007A1478">
        <w:rPr>
          <w:rFonts w:ascii="Times New Roman" w:hAnsi="Times New Roman" w:cs="Times New Roman"/>
          <w:sz w:val="21"/>
          <w:szCs w:val="21"/>
          <w:u w:val="single"/>
        </w:rPr>
        <w:t>.</w:t>
      </w:r>
      <w:r w:rsidRPr="007A1478">
        <w:rPr>
          <w:rFonts w:ascii="Times New Roman" w:hAnsi="Times New Roman" w:cs="Times New Roman"/>
          <w:sz w:val="21"/>
          <w:szCs w:val="21"/>
        </w:rPr>
        <w:t xml:space="preserve">, </w:t>
      </w:r>
      <w:r w:rsidRPr="007A1478">
        <w:rPr>
          <w:rFonts w:ascii="Times New Roman" w:hAnsi="Times New Roman" w:cs="Times New Roman"/>
          <w:i/>
          <w:sz w:val="21"/>
          <w:szCs w:val="21"/>
        </w:rPr>
        <w:t>U.S. v. Southern Motor Carrier Rate Conference, Inc</w:t>
      </w:r>
      <w:r w:rsidRPr="007A1478">
        <w:rPr>
          <w:rFonts w:ascii="Times New Roman" w:hAnsi="Times New Roman" w:cs="Times New Roman"/>
          <w:sz w:val="21"/>
          <w:szCs w:val="21"/>
        </w:rPr>
        <w:t xml:space="preserve">., 467 F. Supp. 471 (N.D. Ga. 1979), </w:t>
      </w:r>
      <w:r w:rsidRPr="007A1478">
        <w:rPr>
          <w:rFonts w:ascii="Times New Roman" w:hAnsi="Times New Roman" w:cs="Times New Roman"/>
          <w:i/>
          <w:sz w:val="21"/>
          <w:szCs w:val="21"/>
        </w:rPr>
        <w:t>aff’d</w:t>
      </w:r>
      <w:r w:rsidRPr="007A1478">
        <w:rPr>
          <w:rFonts w:ascii="Times New Roman" w:hAnsi="Times New Roman" w:cs="Times New Roman"/>
          <w:sz w:val="21"/>
          <w:szCs w:val="21"/>
        </w:rPr>
        <w:t xml:space="preserve"> 672 F.2d 469 (5th Cir. 1982), </w:t>
      </w:r>
      <w:r w:rsidRPr="007A1478">
        <w:rPr>
          <w:rFonts w:ascii="Times New Roman" w:hAnsi="Times New Roman" w:cs="Times New Roman"/>
          <w:i/>
          <w:sz w:val="21"/>
          <w:szCs w:val="21"/>
        </w:rPr>
        <w:t xml:space="preserve">aff’d </w:t>
      </w:r>
      <w:proofErr w:type="spellStart"/>
      <w:r w:rsidRPr="007A1478">
        <w:rPr>
          <w:rFonts w:ascii="Times New Roman" w:hAnsi="Times New Roman" w:cs="Times New Roman"/>
          <w:i/>
          <w:sz w:val="21"/>
          <w:szCs w:val="21"/>
        </w:rPr>
        <w:t>en</w:t>
      </w:r>
      <w:proofErr w:type="spellEnd"/>
      <w:r w:rsidRPr="007A1478">
        <w:rPr>
          <w:rFonts w:ascii="Times New Roman" w:hAnsi="Times New Roman" w:cs="Times New Roman"/>
          <w:i/>
          <w:sz w:val="21"/>
          <w:szCs w:val="21"/>
        </w:rPr>
        <w:t xml:space="preserve"> banc on reh’g,</w:t>
      </w:r>
      <w:r w:rsidRPr="007A1478">
        <w:rPr>
          <w:rFonts w:ascii="Times New Roman" w:hAnsi="Times New Roman" w:cs="Times New Roman"/>
          <w:sz w:val="21"/>
          <w:szCs w:val="21"/>
        </w:rPr>
        <w:t xml:space="preserve"> 702 F.2d 532 (5th Cir. 1983), </w:t>
      </w:r>
      <w:proofErr w:type="spellStart"/>
      <w:r w:rsidRPr="007A1478">
        <w:rPr>
          <w:rFonts w:ascii="Times New Roman" w:hAnsi="Times New Roman" w:cs="Times New Roman"/>
          <w:i/>
          <w:sz w:val="21"/>
          <w:szCs w:val="21"/>
        </w:rPr>
        <w:t>rev'd</w:t>
      </w:r>
      <w:proofErr w:type="spellEnd"/>
      <w:r w:rsidRPr="007A1478">
        <w:rPr>
          <w:rFonts w:ascii="Times New Roman" w:hAnsi="Times New Roman" w:cs="Times New Roman"/>
          <w:i/>
          <w:sz w:val="21"/>
          <w:szCs w:val="21"/>
        </w:rPr>
        <w:t xml:space="preserve"> on other grounds,</w:t>
      </w:r>
      <w:r w:rsidRPr="007A1478">
        <w:rPr>
          <w:rFonts w:ascii="Times New Roman" w:hAnsi="Times New Roman" w:cs="Times New Roman"/>
          <w:sz w:val="21"/>
          <w:szCs w:val="21"/>
        </w:rPr>
        <w:t xml:space="preserve"> 471 U.S. 48 (1985) (noting that “[t]he District Court permitted [NARUC] to intervene as a defendant. Throughout this litigation, the NARUC has represented the interests of the Public Service Commissions of those States in which the defendant rate bureaus operate.” 471 U.S. 52, n. 10. </w:t>
      </w:r>
      <w:r w:rsidRPr="007A1478">
        <w:rPr>
          <w:rFonts w:ascii="Times New Roman" w:hAnsi="Times New Roman" w:cs="Times New Roman"/>
          <w:i/>
          <w:sz w:val="21"/>
          <w:szCs w:val="21"/>
        </w:rPr>
        <w:t>See also</w:t>
      </w:r>
      <w:r w:rsidRPr="007A1478">
        <w:rPr>
          <w:rFonts w:ascii="Times New Roman" w:hAnsi="Times New Roman" w:cs="Times New Roman"/>
          <w:sz w:val="21"/>
          <w:szCs w:val="21"/>
        </w:rPr>
        <w:t xml:space="preserve">, </w:t>
      </w:r>
      <w:r w:rsidRPr="007A1478">
        <w:rPr>
          <w:rFonts w:ascii="Times New Roman" w:hAnsi="Times New Roman" w:cs="Times New Roman"/>
          <w:i/>
          <w:sz w:val="21"/>
          <w:szCs w:val="21"/>
        </w:rPr>
        <w:t>Indianapolis Power and Light Co. v. ICC</w:t>
      </w:r>
      <w:r w:rsidRPr="007A1478">
        <w:rPr>
          <w:rFonts w:ascii="Times New Roman" w:hAnsi="Times New Roman" w:cs="Times New Roman"/>
          <w:sz w:val="21"/>
          <w:szCs w:val="21"/>
        </w:rPr>
        <w:t>, 687 F.2d 1098 (7th Cir. 1982)</w:t>
      </w:r>
      <w:r w:rsidRPr="007A1478">
        <w:rPr>
          <w:rFonts w:ascii="Times New Roman" w:hAnsi="Times New Roman" w:cs="Times New Roman"/>
          <w:sz w:val="21"/>
          <w:szCs w:val="21"/>
        </w:rPr>
        <w:fldChar w:fldCharType="begin"/>
      </w:r>
      <w:r w:rsidRPr="007A1478">
        <w:rPr>
          <w:rFonts w:ascii="Times New Roman" w:hAnsi="Times New Roman" w:cs="Times New Roman"/>
          <w:sz w:val="21"/>
          <w:szCs w:val="21"/>
        </w:rPr>
        <w:instrText xml:space="preserve"> TA \l "</w:instrText>
      </w:r>
      <w:r w:rsidRPr="007A1478">
        <w:rPr>
          <w:rFonts w:ascii="Times New Roman" w:hAnsi="Times New Roman" w:cs="Times New Roman"/>
          <w:i/>
          <w:sz w:val="21"/>
          <w:szCs w:val="21"/>
        </w:rPr>
        <w:instrText>Indianapolis Power and Light Co. v. ICC</w:instrText>
      </w:r>
      <w:r w:rsidRPr="007A1478">
        <w:rPr>
          <w:rFonts w:ascii="Times New Roman" w:hAnsi="Times New Roman" w:cs="Times New Roman"/>
          <w:sz w:val="21"/>
          <w:szCs w:val="21"/>
        </w:rPr>
        <w:instrText xml:space="preserve">, 587 F.2d 1098 (7th Cir. 1982)" \s "Indianapolis Power and Light Co. v. ICC, 587 F.2d 1098 (7th Cir. 1982)" \c 1 </w:instrText>
      </w:r>
      <w:r w:rsidRPr="007A1478">
        <w:rPr>
          <w:rFonts w:ascii="Times New Roman" w:hAnsi="Times New Roman" w:cs="Times New Roman"/>
          <w:sz w:val="21"/>
          <w:szCs w:val="21"/>
        </w:rPr>
        <w:fldChar w:fldCharType="end"/>
      </w:r>
      <w:r w:rsidRPr="007A1478">
        <w:rPr>
          <w:rFonts w:ascii="Times New Roman" w:hAnsi="Times New Roman" w:cs="Times New Roman"/>
          <w:sz w:val="21"/>
          <w:szCs w:val="21"/>
        </w:rPr>
        <w:t xml:space="preserve">; </w:t>
      </w:r>
      <w:r w:rsidRPr="007A1478">
        <w:rPr>
          <w:rFonts w:ascii="Times New Roman" w:hAnsi="Times New Roman" w:cs="Times New Roman"/>
          <w:i/>
          <w:sz w:val="21"/>
          <w:szCs w:val="21"/>
        </w:rPr>
        <w:t>Washington Utilities and Transportation Commission v. FCC</w:t>
      </w:r>
      <w:r w:rsidRPr="007A1478">
        <w:rPr>
          <w:rFonts w:ascii="Times New Roman" w:hAnsi="Times New Roman" w:cs="Times New Roman"/>
          <w:sz w:val="21"/>
          <w:szCs w:val="21"/>
        </w:rPr>
        <w:t>, 513 F.2d 1142 (9th Cir. 1976)</w:t>
      </w:r>
      <w:r w:rsidRPr="007A1478">
        <w:rPr>
          <w:rFonts w:ascii="Times New Roman" w:hAnsi="Times New Roman" w:cs="Times New Roman"/>
          <w:sz w:val="21"/>
          <w:szCs w:val="21"/>
        </w:rPr>
        <w:fldChar w:fldCharType="begin"/>
      </w:r>
      <w:r w:rsidRPr="007A1478">
        <w:rPr>
          <w:rFonts w:ascii="Times New Roman" w:hAnsi="Times New Roman" w:cs="Times New Roman"/>
          <w:sz w:val="21"/>
          <w:szCs w:val="21"/>
        </w:rPr>
        <w:instrText xml:space="preserve"> TA \l "</w:instrText>
      </w:r>
      <w:r w:rsidRPr="007A1478">
        <w:rPr>
          <w:rFonts w:ascii="Times New Roman" w:hAnsi="Times New Roman" w:cs="Times New Roman"/>
          <w:i/>
          <w:sz w:val="21"/>
          <w:szCs w:val="21"/>
        </w:rPr>
        <w:instrText>Washington Utilities and Transportation Commission v. FCC</w:instrText>
      </w:r>
      <w:r w:rsidRPr="007A1478">
        <w:rPr>
          <w:rFonts w:ascii="Times New Roman" w:hAnsi="Times New Roman" w:cs="Times New Roman"/>
          <w:sz w:val="21"/>
          <w:szCs w:val="21"/>
        </w:rPr>
        <w:instrText xml:space="preserve">, 513 F.2d 1142 (9th Cir. 1976)" \s "Washington Utilities and Transportation Commission v. FCC, 513 F.2d 1142 (9th Cir. 1976)" \c 1 </w:instrText>
      </w:r>
      <w:r w:rsidRPr="007A1478">
        <w:rPr>
          <w:rFonts w:ascii="Times New Roman" w:hAnsi="Times New Roman" w:cs="Times New Roman"/>
          <w:sz w:val="21"/>
          <w:szCs w:val="21"/>
        </w:rPr>
        <w:fldChar w:fldCharType="end"/>
      </w:r>
      <w:r w:rsidRPr="007A1478">
        <w:rPr>
          <w:rFonts w:ascii="Times New Roman" w:hAnsi="Times New Roman" w:cs="Times New Roman"/>
          <w:sz w:val="21"/>
          <w:szCs w:val="21"/>
        </w:rPr>
        <w:t>;</w:t>
      </w:r>
      <w:r w:rsidRPr="007A1478">
        <w:rPr>
          <w:rFonts w:ascii="Times New Roman" w:hAnsi="Times New Roman" w:cs="Times New Roman"/>
          <w:i/>
          <w:sz w:val="21"/>
          <w:szCs w:val="21"/>
        </w:rPr>
        <w:t xml:space="preserve"> compare</w:t>
      </w:r>
      <w:r w:rsidRPr="007A1478">
        <w:rPr>
          <w:rFonts w:ascii="Times New Roman" w:hAnsi="Times New Roman" w:cs="Times New Roman"/>
          <w:sz w:val="21"/>
          <w:szCs w:val="21"/>
        </w:rPr>
        <w:t xml:space="preserve">, </w:t>
      </w:r>
      <w:r w:rsidRPr="007A1478">
        <w:rPr>
          <w:rFonts w:ascii="Times New Roman" w:hAnsi="Times New Roman" w:cs="Times New Roman"/>
          <w:i/>
          <w:sz w:val="21"/>
          <w:szCs w:val="21"/>
        </w:rPr>
        <w:t>NARUC v. FERC</w:t>
      </w:r>
      <w:r w:rsidRPr="007A1478">
        <w:rPr>
          <w:rFonts w:ascii="Times New Roman" w:hAnsi="Times New Roman" w:cs="Times New Roman"/>
          <w:sz w:val="21"/>
          <w:szCs w:val="21"/>
        </w:rPr>
        <w:t>, 475 F.3d 1277 (D.C. Cir. 2007)</w:t>
      </w:r>
      <w:r w:rsidRPr="007A1478">
        <w:rPr>
          <w:rFonts w:ascii="Times New Roman" w:hAnsi="Times New Roman" w:cs="Times New Roman"/>
          <w:sz w:val="21"/>
          <w:szCs w:val="21"/>
        </w:rPr>
        <w:fldChar w:fldCharType="begin"/>
      </w:r>
      <w:r w:rsidRPr="007A1478">
        <w:rPr>
          <w:rFonts w:ascii="Times New Roman" w:hAnsi="Times New Roman" w:cs="Times New Roman"/>
          <w:sz w:val="21"/>
          <w:szCs w:val="21"/>
        </w:rPr>
        <w:instrText xml:space="preserve"> TA \l "</w:instrText>
      </w:r>
      <w:r w:rsidRPr="007A1478">
        <w:rPr>
          <w:rFonts w:ascii="Times New Roman" w:hAnsi="Times New Roman" w:cs="Times New Roman"/>
          <w:i/>
          <w:sz w:val="21"/>
          <w:szCs w:val="21"/>
        </w:rPr>
        <w:instrText>NARUC v. FERC</w:instrText>
      </w:r>
      <w:r w:rsidRPr="007A1478">
        <w:rPr>
          <w:rFonts w:ascii="Times New Roman" w:hAnsi="Times New Roman" w:cs="Times New Roman"/>
          <w:sz w:val="21"/>
          <w:szCs w:val="21"/>
        </w:rPr>
        <w:instrText xml:space="preserve">, 475 F.3d 1277 (D.C. Cir. 2007)" \s "NARUC v. FERC, 475 F.3d 1277 (D.C. Cir. 2007)" \c 1 </w:instrText>
      </w:r>
      <w:r w:rsidRPr="007A1478">
        <w:rPr>
          <w:rFonts w:ascii="Times New Roman" w:hAnsi="Times New Roman" w:cs="Times New Roman"/>
          <w:sz w:val="21"/>
          <w:szCs w:val="21"/>
        </w:rPr>
        <w:fldChar w:fldCharType="end"/>
      </w:r>
      <w:r w:rsidRPr="007A1478">
        <w:rPr>
          <w:rFonts w:ascii="Times New Roman" w:hAnsi="Times New Roman" w:cs="Times New Roman"/>
          <w:sz w:val="21"/>
          <w:szCs w:val="21"/>
        </w:rPr>
        <w:t xml:space="preserve">; </w:t>
      </w:r>
      <w:r w:rsidRPr="007A1478">
        <w:rPr>
          <w:rFonts w:ascii="Times New Roman" w:eastAsia="SimSun" w:hAnsi="Times New Roman" w:cs="Times New Roman"/>
          <w:i/>
          <w:sz w:val="21"/>
          <w:szCs w:val="21"/>
        </w:rPr>
        <w:t>NARUC v. DOE</w:t>
      </w:r>
      <w:r w:rsidRPr="007A1478">
        <w:rPr>
          <w:rFonts w:ascii="Times New Roman" w:eastAsia="SimSun" w:hAnsi="Times New Roman" w:cs="Times New Roman"/>
          <w:sz w:val="21"/>
          <w:szCs w:val="21"/>
        </w:rPr>
        <w:t>, 851 F.2d 1424, 1425 (D.C. Cir. 1988)</w:t>
      </w:r>
      <w:r w:rsidRPr="007A1478">
        <w:rPr>
          <w:rFonts w:ascii="Times New Roman" w:eastAsia="SimSun" w:hAnsi="Times New Roman" w:cs="Times New Roman"/>
          <w:sz w:val="21"/>
          <w:szCs w:val="21"/>
        </w:rPr>
        <w:fldChar w:fldCharType="begin"/>
      </w:r>
      <w:r w:rsidRPr="007A1478">
        <w:rPr>
          <w:rFonts w:ascii="Times New Roman" w:hAnsi="Times New Roman" w:cs="Times New Roman"/>
          <w:sz w:val="21"/>
          <w:szCs w:val="21"/>
        </w:rPr>
        <w:instrText xml:space="preserve"> TA \l "</w:instrText>
      </w:r>
      <w:r w:rsidRPr="007A1478">
        <w:rPr>
          <w:rFonts w:ascii="Times New Roman" w:eastAsia="SimSun" w:hAnsi="Times New Roman" w:cs="Times New Roman"/>
          <w:i/>
          <w:sz w:val="21"/>
          <w:szCs w:val="21"/>
        </w:rPr>
        <w:instrText>NARUC v. DOE</w:instrText>
      </w:r>
      <w:r w:rsidRPr="007A1478">
        <w:rPr>
          <w:rFonts w:ascii="Times New Roman" w:eastAsia="SimSun" w:hAnsi="Times New Roman" w:cs="Times New Roman"/>
          <w:sz w:val="21"/>
          <w:szCs w:val="21"/>
        </w:rPr>
        <w:instrText>, 851 F.2d 1424, 1425 (D.C. Cir. 1988)</w:instrText>
      </w:r>
      <w:r w:rsidRPr="007A1478">
        <w:rPr>
          <w:rFonts w:ascii="Times New Roman" w:hAnsi="Times New Roman" w:cs="Times New Roman"/>
          <w:sz w:val="21"/>
          <w:szCs w:val="21"/>
        </w:rPr>
        <w:instrText xml:space="preserve">" \s "NARUC v. DOE, 851 F.2d 1424 (D.C. Cir. 1988)" \c 1 </w:instrText>
      </w:r>
      <w:r w:rsidRPr="007A1478">
        <w:rPr>
          <w:rFonts w:ascii="Times New Roman" w:eastAsia="SimSun" w:hAnsi="Times New Roman" w:cs="Times New Roman"/>
          <w:sz w:val="21"/>
          <w:szCs w:val="21"/>
        </w:rPr>
        <w:fldChar w:fldCharType="end"/>
      </w:r>
      <w:r w:rsidRPr="007A1478">
        <w:rPr>
          <w:rFonts w:ascii="Times New Roman" w:eastAsia="SimSun" w:hAnsi="Times New Roman" w:cs="Times New Roman"/>
          <w:sz w:val="21"/>
          <w:szCs w:val="21"/>
        </w:rPr>
        <w:t xml:space="preserve">; </w:t>
      </w:r>
      <w:r w:rsidRPr="007A1478">
        <w:rPr>
          <w:rFonts w:ascii="Times New Roman" w:hAnsi="Times New Roman" w:cs="Times New Roman"/>
          <w:i/>
          <w:sz w:val="21"/>
          <w:szCs w:val="21"/>
        </w:rPr>
        <w:t>NARUC v. FCC</w:t>
      </w:r>
      <w:r w:rsidRPr="007A1478">
        <w:rPr>
          <w:rFonts w:ascii="Times New Roman" w:hAnsi="Times New Roman" w:cs="Times New Roman"/>
          <w:sz w:val="21"/>
          <w:szCs w:val="21"/>
        </w:rPr>
        <w:t xml:space="preserve">, 737 F.2d 1095 (D.C. Cir. 1984), </w:t>
      </w:r>
      <w:r w:rsidRPr="007A1478">
        <w:rPr>
          <w:rFonts w:ascii="Times New Roman" w:hAnsi="Times New Roman" w:cs="Times New Roman"/>
          <w:i/>
          <w:sz w:val="21"/>
          <w:szCs w:val="21"/>
        </w:rPr>
        <w:t>cert. denied</w:t>
      </w:r>
      <w:r w:rsidRPr="007A1478">
        <w:rPr>
          <w:rFonts w:ascii="Times New Roman" w:hAnsi="Times New Roman" w:cs="Times New Roman"/>
          <w:sz w:val="21"/>
          <w:szCs w:val="21"/>
        </w:rPr>
        <w:t>, 469 U.S. 1227 (1985)</w:t>
      </w:r>
      <w:r w:rsidRPr="007A1478">
        <w:rPr>
          <w:rFonts w:ascii="Times New Roman" w:hAnsi="Times New Roman" w:cs="Times New Roman"/>
          <w:sz w:val="21"/>
          <w:szCs w:val="21"/>
        </w:rPr>
        <w:fldChar w:fldCharType="begin"/>
      </w:r>
      <w:r w:rsidRPr="007A1478">
        <w:rPr>
          <w:rFonts w:ascii="Times New Roman" w:hAnsi="Times New Roman" w:cs="Times New Roman"/>
          <w:sz w:val="21"/>
          <w:szCs w:val="21"/>
        </w:rPr>
        <w:instrText xml:space="preserve"> TA \l "</w:instrText>
      </w:r>
      <w:r w:rsidRPr="007A1478">
        <w:rPr>
          <w:rFonts w:ascii="Times New Roman" w:hAnsi="Times New Roman" w:cs="Times New Roman"/>
          <w:i/>
          <w:sz w:val="21"/>
          <w:szCs w:val="21"/>
        </w:rPr>
        <w:instrText>NARUC v. FCC</w:instrText>
      </w:r>
      <w:r w:rsidRPr="007A1478">
        <w:rPr>
          <w:rFonts w:ascii="Times New Roman" w:hAnsi="Times New Roman" w:cs="Times New Roman"/>
          <w:sz w:val="21"/>
          <w:szCs w:val="21"/>
        </w:rPr>
        <w:instrText xml:space="preserve">, 737 F.2d 1095 (D.C. Cir. 1984), </w:instrText>
      </w:r>
      <w:r w:rsidRPr="007A1478">
        <w:rPr>
          <w:rFonts w:ascii="Times New Roman" w:hAnsi="Times New Roman" w:cs="Times New Roman"/>
          <w:sz w:val="21"/>
          <w:szCs w:val="21"/>
          <w:u w:val="single"/>
        </w:rPr>
        <w:instrText>cert</w:instrText>
      </w:r>
      <w:r w:rsidRPr="007A1478">
        <w:rPr>
          <w:rFonts w:ascii="Times New Roman" w:hAnsi="Times New Roman" w:cs="Times New Roman"/>
          <w:sz w:val="21"/>
          <w:szCs w:val="21"/>
        </w:rPr>
        <w:instrText xml:space="preserve">. </w:instrText>
      </w:r>
      <w:r w:rsidRPr="007A1478">
        <w:rPr>
          <w:rFonts w:ascii="Times New Roman" w:hAnsi="Times New Roman" w:cs="Times New Roman"/>
          <w:sz w:val="21"/>
          <w:szCs w:val="21"/>
          <w:u w:val="single"/>
        </w:rPr>
        <w:instrText>denied</w:instrText>
      </w:r>
      <w:r w:rsidRPr="007A1478">
        <w:rPr>
          <w:rFonts w:ascii="Times New Roman" w:hAnsi="Times New Roman" w:cs="Times New Roman"/>
          <w:sz w:val="21"/>
          <w:szCs w:val="21"/>
        </w:rPr>
        <w:instrText xml:space="preserve">, 469 U.S. 1227 (1985)" \s "NARUC v. FCC, 737 F.2d 1095 (D.C. Cir. 1984), cert. denied, 469 U.S. 1227 (1985)" \c 1 </w:instrText>
      </w:r>
      <w:r w:rsidRPr="007A1478">
        <w:rPr>
          <w:rFonts w:ascii="Times New Roman" w:hAnsi="Times New Roman" w:cs="Times New Roman"/>
          <w:sz w:val="21"/>
          <w:szCs w:val="21"/>
        </w:rPr>
        <w:fldChar w:fldCharType="end"/>
      </w:r>
      <w:r w:rsidRPr="007A1478">
        <w:rPr>
          <w:rFonts w:ascii="Times New Roman" w:hAnsi="Times New Roman" w:cs="Times New Roman"/>
          <w:sz w:val="21"/>
          <w:szCs w:val="21"/>
        </w:rPr>
        <w:t>.</w:t>
      </w:r>
    </w:p>
    <w:p w14:paraId="08423840" w14:textId="77777777" w:rsidR="00EF29CA" w:rsidRPr="007A1478" w:rsidRDefault="00EF29CA" w:rsidP="007A1478">
      <w:pPr>
        <w:autoSpaceDE w:val="0"/>
        <w:autoSpaceDN w:val="0"/>
        <w:adjustRightInd w:val="0"/>
        <w:spacing w:after="0" w:line="240" w:lineRule="auto"/>
        <w:jc w:val="both"/>
        <w:rPr>
          <w:rFonts w:ascii="Times New Roman" w:hAnsi="Times New Roman" w:cs="Times New Roman"/>
          <w:sz w:val="21"/>
          <w:szCs w:val="21"/>
        </w:rPr>
      </w:pPr>
    </w:p>
  </w:footnote>
  <w:footnote w:id="7">
    <w:p w14:paraId="6F74AF03" w14:textId="77777777" w:rsidR="00EF29CA" w:rsidRPr="007A1478" w:rsidRDefault="00EF29CA" w:rsidP="007A1478">
      <w:pPr>
        <w:autoSpaceDE w:val="0"/>
        <w:autoSpaceDN w:val="0"/>
        <w:adjustRightInd w:val="0"/>
        <w:spacing w:after="0" w:line="240" w:lineRule="auto"/>
        <w:jc w:val="both"/>
        <w:rPr>
          <w:rFonts w:ascii="Times New Roman" w:hAnsi="Times New Roman" w:cs="Times New Roman"/>
          <w:sz w:val="21"/>
          <w:szCs w:val="21"/>
        </w:rPr>
      </w:pPr>
      <w:r w:rsidRPr="007A1478">
        <w:rPr>
          <w:rStyle w:val="FootnoteReference"/>
          <w:rFonts w:ascii="Times New Roman" w:hAnsi="Times New Roman" w:cs="Times New Roman"/>
          <w:sz w:val="21"/>
          <w:szCs w:val="21"/>
        </w:rPr>
        <w:footnoteRef/>
      </w:r>
      <w:r w:rsidRPr="007A1478">
        <w:rPr>
          <w:rFonts w:ascii="Times New Roman" w:hAnsi="Times New Roman" w:cs="Times New Roman"/>
          <w:sz w:val="21"/>
          <w:szCs w:val="21"/>
        </w:rPr>
        <w:t xml:space="preserve"> </w:t>
      </w:r>
      <w:r w:rsidRPr="007A1478">
        <w:rPr>
          <w:rFonts w:ascii="Times New Roman" w:hAnsi="Times New Roman" w:cs="Times New Roman"/>
          <w:sz w:val="21"/>
          <w:szCs w:val="21"/>
        </w:rPr>
        <w:tab/>
        <w:t xml:space="preserve">NRC Atomic Safety and Licensing Board </w:t>
      </w:r>
      <w:r w:rsidRPr="007A1478">
        <w:rPr>
          <w:rFonts w:ascii="Times New Roman" w:hAnsi="Times New Roman" w:cs="Times New Roman"/>
          <w:i/>
          <w:sz w:val="21"/>
          <w:szCs w:val="21"/>
        </w:rPr>
        <w:t>Memorandum and Order</w:t>
      </w:r>
      <w:r w:rsidRPr="007A1478">
        <w:rPr>
          <w:rFonts w:ascii="Times New Roman" w:hAnsi="Times New Roman" w:cs="Times New Roman"/>
          <w:sz w:val="21"/>
          <w:szCs w:val="21"/>
        </w:rPr>
        <w:t xml:space="preserve"> (Granting Intervention to Petitioners and Denying Withdrawal Motion), LBP-10-11, </w:t>
      </w:r>
      <w:r w:rsidRPr="007A1478">
        <w:rPr>
          <w:rFonts w:ascii="Times New Roman" w:hAnsi="Times New Roman" w:cs="Times New Roman"/>
          <w:i/>
          <w:sz w:val="21"/>
          <w:szCs w:val="21"/>
        </w:rPr>
        <w:t>In the Matter of U.S. Department of Energy (High Level Waste Repository)</w:t>
      </w:r>
      <w:r w:rsidRPr="007A1478">
        <w:rPr>
          <w:rFonts w:ascii="Times New Roman" w:hAnsi="Times New Roman" w:cs="Times New Roman"/>
          <w:sz w:val="21"/>
          <w:szCs w:val="21"/>
        </w:rPr>
        <w:t xml:space="preserve"> Docket No. 63-001-HLW; ASLBP No. 09-892-HLW-CABO4</w:t>
      </w:r>
      <w:r w:rsidRPr="007A1478">
        <w:rPr>
          <w:rFonts w:ascii="Times New Roman" w:hAnsi="Times New Roman" w:cs="Times New Roman"/>
          <w:sz w:val="21"/>
          <w:szCs w:val="21"/>
        </w:rPr>
        <w:fldChar w:fldCharType="begin"/>
      </w:r>
      <w:r w:rsidRPr="007A1478">
        <w:rPr>
          <w:rFonts w:ascii="Times New Roman" w:hAnsi="Times New Roman" w:cs="Times New Roman"/>
          <w:sz w:val="21"/>
          <w:szCs w:val="21"/>
        </w:rPr>
        <w:instrText xml:space="preserve"> TA \l "NRC Atomic Safety and Licensing Board </w:instrText>
      </w:r>
      <w:r w:rsidRPr="007A1478">
        <w:rPr>
          <w:rFonts w:ascii="Times New Roman" w:hAnsi="Times New Roman" w:cs="Times New Roman"/>
          <w:i/>
          <w:sz w:val="21"/>
          <w:szCs w:val="21"/>
        </w:rPr>
        <w:instrText>Memorandum and Order</w:instrText>
      </w:r>
      <w:r w:rsidRPr="007A1478">
        <w:rPr>
          <w:rFonts w:ascii="Times New Roman" w:hAnsi="Times New Roman" w:cs="Times New Roman"/>
          <w:sz w:val="21"/>
          <w:szCs w:val="21"/>
        </w:rPr>
        <w:instrText xml:space="preserve"> (Granting Intervention to Petitioners and Denying Withdrawal Motion), LBP-10-11,  </w:instrText>
      </w:r>
      <w:r w:rsidRPr="007A1478">
        <w:rPr>
          <w:rFonts w:ascii="Times New Roman" w:hAnsi="Times New Roman" w:cs="Times New Roman"/>
          <w:i/>
          <w:sz w:val="21"/>
          <w:szCs w:val="21"/>
        </w:rPr>
        <w:instrText>In the Matter of U.S. Department of Energy (High Level Waste Repository)</w:instrText>
      </w:r>
      <w:r w:rsidRPr="007A1478">
        <w:rPr>
          <w:rFonts w:ascii="Times New Roman" w:hAnsi="Times New Roman" w:cs="Times New Roman"/>
          <w:sz w:val="21"/>
          <w:szCs w:val="21"/>
        </w:rPr>
        <w:instrText xml:space="preserve"> Docket No. 63-001-HLW; ASLBP No. 09-892-HLW-CABO4" \s "NRC Atomic Safety and Licensing Board Memorandum and Order (Granting Intervention to Petitioners and Denying Withdrawal Motion), LBP-10-11,  In the Matter of U.S. Department of Energy (High Level Waste Repository) Docket No. 63-001-HLW; ASLBP No. 09-892-H" \c 2 </w:instrText>
      </w:r>
      <w:r w:rsidRPr="007A1478">
        <w:rPr>
          <w:rFonts w:ascii="Times New Roman" w:hAnsi="Times New Roman" w:cs="Times New Roman"/>
          <w:sz w:val="21"/>
          <w:szCs w:val="21"/>
        </w:rPr>
        <w:fldChar w:fldCharType="end"/>
      </w:r>
      <w:r w:rsidRPr="007A1478">
        <w:rPr>
          <w:rFonts w:ascii="Times New Roman" w:hAnsi="Times New Roman" w:cs="Times New Roman"/>
          <w:sz w:val="21"/>
          <w:szCs w:val="21"/>
        </w:rPr>
        <w:t xml:space="preserve">, </w:t>
      </w:r>
      <w:r w:rsidRPr="007A1478">
        <w:rPr>
          <w:rFonts w:ascii="Times New Roman" w:hAnsi="Times New Roman" w:cs="Times New Roman"/>
          <w:i/>
          <w:sz w:val="21"/>
          <w:szCs w:val="21"/>
        </w:rPr>
        <w:t>mimeo</w:t>
      </w:r>
      <w:r w:rsidRPr="007A1478">
        <w:rPr>
          <w:rFonts w:ascii="Times New Roman" w:hAnsi="Times New Roman" w:cs="Times New Roman"/>
          <w:sz w:val="21"/>
          <w:szCs w:val="21"/>
        </w:rPr>
        <w:t xml:space="preserve"> at 31 (June 29, 2010) (“We agree with NARUC that, because state utility commissioners are responsible for protecting ratepayers’ interests and overseeing the operations of regulated electric utilities, these economic harms constitute its members’ injury-in-fact.”)</w:t>
      </w:r>
    </w:p>
  </w:footnote>
  <w:footnote w:id="8">
    <w:p w14:paraId="6F6AE7F0" w14:textId="77777777" w:rsidR="002E2ABF" w:rsidRPr="007A1478" w:rsidRDefault="002E2ABF" w:rsidP="007A1478">
      <w:pPr>
        <w:pStyle w:val="FootnoteText"/>
        <w:tabs>
          <w:tab w:val="left" w:pos="720"/>
        </w:tabs>
        <w:jc w:val="both"/>
        <w:rPr>
          <w:rFonts w:ascii="Times New Roman" w:hAnsi="Times New Roman" w:cs="Times New Roman"/>
          <w:i/>
          <w:sz w:val="21"/>
          <w:szCs w:val="21"/>
        </w:rPr>
      </w:pPr>
    </w:p>
    <w:p w14:paraId="6A6AF608" w14:textId="5B15D3CB" w:rsidR="00EF29CA" w:rsidRPr="007A1478" w:rsidRDefault="00EF29CA" w:rsidP="007A1478">
      <w:pPr>
        <w:pStyle w:val="FootnoteText"/>
        <w:tabs>
          <w:tab w:val="left" w:pos="720"/>
        </w:tabs>
        <w:jc w:val="both"/>
        <w:rPr>
          <w:rFonts w:ascii="Times New Roman" w:hAnsi="Times New Roman" w:cs="Times New Roman"/>
          <w:sz w:val="21"/>
          <w:szCs w:val="21"/>
        </w:rPr>
      </w:pPr>
      <w:r w:rsidRPr="007A1478">
        <w:rPr>
          <w:rStyle w:val="FootnoteReference"/>
          <w:rFonts w:ascii="Times New Roman" w:hAnsi="Times New Roman" w:cs="Times New Roman"/>
          <w:sz w:val="21"/>
          <w:szCs w:val="21"/>
        </w:rPr>
        <w:footnoteRef/>
      </w:r>
      <w:r w:rsidRPr="007A1478">
        <w:rPr>
          <w:rFonts w:ascii="Times New Roman" w:hAnsi="Times New Roman" w:cs="Times New Roman"/>
          <w:i/>
          <w:sz w:val="21"/>
          <w:szCs w:val="21"/>
        </w:rPr>
        <w:tab/>
        <w:t>Communications Act of 1934</w:t>
      </w:r>
      <w:r w:rsidRPr="007A1478">
        <w:rPr>
          <w:rFonts w:ascii="Times New Roman" w:hAnsi="Times New Roman" w:cs="Times New Roman"/>
          <w:sz w:val="21"/>
          <w:szCs w:val="21"/>
        </w:rPr>
        <w:t xml:space="preserve">, as amended by the </w:t>
      </w:r>
      <w:r w:rsidRPr="007A1478">
        <w:rPr>
          <w:rFonts w:ascii="Times New Roman" w:hAnsi="Times New Roman" w:cs="Times New Roman"/>
          <w:i/>
          <w:iCs/>
          <w:sz w:val="21"/>
          <w:szCs w:val="21"/>
        </w:rPr>
        <w:t>Telecommunications Act of 1996</w:t>
      </w:r>
      <w:r w:rsidRPr="007A1478">
        <w:rPr>
          <w:rFonts w:ascii="Times New Roman" w:hAnsi="Times New Roman" w:cs="Times New Roman"/>
          <w:sz w:val="21"/>
          <w:szCs w:val="21"/>
        </w:rPr>
        <w:t xml:space="preserve">, 47 U.S.C. §151 </w:t>
      </w:r>
      <w:r w:rsidRPr="007A1478">
        <w:rPr>
          <w:rFonts w:ascii="Times New Roman" w:hAnsi="Times New Roman" w:cs="Times New Roman"/>
          <w:i/>
          <w:sz w:val="21"/>
          <w:szCs w:val="21"/>
        </w:rPr>
        <w:t>et seq</w:t>
      </w:r>
      <w:r w:rsidRPr="007A1478">
        <w:rPr>
          <w:rFonts w:ascii="Times New Roman" w:hAnsi="Times New Roman" w:cs="Times New Roman"/>
          <w:sz w:val="21"/>
          <w:szCs w:val="21"/>
        </w:rPr>
        <w:t>., Pub. L. No. 101-104, 110 Stat. 56 (1996) (West Supp. 1998) (“Act” or “1996 Act”).</w:t>
      </w:r>
    </w:p>
    <w:p w14:paraId="246D7922" w14:textId="77777777" w:rsidR="00EF29CA" w:rsidRPr="007A1478" w:rsidRDefault="00EF29CA" w:rsidP="007A1478">
      <w:pPr>
        <w:pStyle w:val="FootnoteText"/>
        <w:tabs>
          <w:tab w:val="left" w:pos="720"/>
        </w:tabs>
        <w:jc w:val="both"/>
        <w:rPr>
          <w:rFonts w:ascii="Times New Roman" w:hAnsi="Times New Roman" w:cs="Times New Roman"/>
          <w:sz w:val="21"/>
          <w:szCs w:val="21"/>
        </w:rPr>
      </w:pPr>
    </w:p>
  </w:footnote>
  <w:footnote w:id="9">
    <w:p w14:paraId="16CCDA3B" w14:textId="77777777" w:rsidR="00EF29CA" w:rsidRPr="007A1478" w:rsidRDefault="00EF29CA" w:rsidP="007A1478">
      <w:pPr>
        <w:pStyle w:val="FootnoteText"/>
        <w:tabs>
          <w:tab w:val="left" w:pos="720"/>
        </w:tabs>
        <w:jc w:val="both"/>
        <w:rPr>
          <w:rFonts w:ascii="Times New Roman" w:hAnsi="Times New Roman" w:cs="Times New Roman"/>
          <w:sz w:val="21"/>
          <w:szCs w:val="21"/>
        </w:rPr>
      </w:pPr>
      <w:r w:rsidRPr="007A1478">
        <w:rPr>
          <w:rStyle w:val="FootnoteReference"/>
          <w:rFonts w:ascii="Times New Roman" w:hAnsi="Times New Roman" w:cs="Times New Roman"/>
          <w:sz w:val="21"/>
          <w:szCs w:val="21"/>
        </w:rPr>
        <w:footnoteRef/>
      </w:r>
      <w:r w:rsidRPr="007A1478">
        <w:rPr>
          <w:rFonts w:ascii="Times New Roman" w:hAnsi="Times New Roman" w:cs="Times New Roman"/>
          <w:i/>
          <w:sz w:val="21"/>
          <w:szCs w:val="21"/>
        </w:rPr>
        <w:t xml:space="preserve"> </w:t>
      </w:r>
      <w:r w:rsidRPr="007A1478">
        <w:rPr>
          <w:rFonts w:ascii="Times New Roman" w:hAnsi="Times New Roman" w:cs="Times New Roman"/>
          <w:i/>
          <w:sz w:val="21"/>
          <w:szCs w:val="21"/>
        </w:rPr>
        <w:tab/>
      </w:r>
      <w:r w:rsidRPr="007A1478">
        <w:rPr>
          <w:rFonts w:ascii="Times New Roman" w:hAnsi="Times New Roman" w:cs="Times New Roman"/>
          <w:i/>
          <w:iCs/>
          <w:sz w:val="21"/>
          <w:szCs w:val="21"/>
        </w:rPr>
        <w:t>See</w:t>
      </w:r>
      <w:r w:rsidRPr="007A1478">
        <w:rPr>
          <w:rFonts w:ascii="Times New Roman" w:hAnsi="Times New Roman" w:cs="Times New Roman"/>
          <w:i/>
          <w:sz w:val="21"/>
          <w:szCs w:val="21"/>
        </w:rPr>
        <w:t xml:space="preserve"> </w:t>
      </w:r>
      <w:r w:rsidRPr="007A1478">
        <w:rPr>
          <w:rFonts w:ascii="Times New Roman" w:hAnsi="Times New Roman" w:cs="Times New Roman"/>
          <w:sz w:val="21"/>
          <w:szCs w:val="21"/>
        </w:rPr>
        <w:t>47 U.S.C. § 410(c) (1971) (NARUC nominates members to FCC Joint Federal-State Boards, which consider universal service, separations, and related concerns and provide formal recommendations that the FCC must act upon;</w:t>
      </w:r>
      <w:r w:rsidRPr="007A1478">
        <w:rPr>
          <w:rFonts w:ascii="Times New Roman" w:hAnsi="Times New Roman" w:cs="Times New Roman"/>
          <w:i/>
          <w:sz w:val="21"/>
          <w:szCs w:val="21"/>
        </w:rPr>
        <w:t xml:space="preserve"> Cf</w:t>
      </w:r>
      <w:r w:rsidRPr="007A1478">
        <w:rPr>
          <w:rFonts w:ascii="Times New Roman" w:hAnsi="Times New Roman" w:cs="Times New Roman"/>
          <w:i/>
          <w:iCs/>
          <w:sz w:val="21"/>
          <w:szCs w:val="21"/>
        </w:rPr>
        <w:t>.</w:t>
      </w:r>
      <w:r w:rsidRPr="007A1478">
        <w:rPr>
          <w:rFonts w:ascii="Times New Roman" w:hAnsi="Times New Roman" w:cs="Times New Roman"/>
          <w:i/>
          <w:sz w:val="21"/>
          <w:szCs w:val="21"/>
        </w:rPr>
        <w:t xml:space="preserve"> </w:t>
      </w:r>
      <w:r w:rsidRPr="007A1478">
        <w:rPr>
          <w:rFonts w:ascii="Times New Roman" w:hAnsi="Times New Roman" w:cs="Times New Roman"/>
          <w:sz w:val="21"/>
          <w:szCs w:val="21"/>
        </w:rPr>
        <w:t xml:space="preserve">47 U.S.C. § 254 (1996). </w:t>
      </w:r>
      <w:r w:rsidRPr="007A1478">
        <w:rPr>
          <w:rFonts w:ascii="Times New Roman" w:hAnsi="Times New Roman" w:cs="Times New Roman"/>
          <w:i/>
          <w:sz w:val="21"/>
          <w:szCs w:val="21"/>
        </w:rPr>
        <w:t>Cf.</w:t>
      </w:r>
      <w:r w:rsidRPr="007A1478">
        <w:rPr>
          <w:rFonts w:ascii="Times New Roman" w:hAnsi="Times New Roman" w:cs="Times New Roman"/>
          <w:i/>
          <w:iCs/>
          <w:sz w:val="21"/>
          <w:szCs w:val="21"/>
        </w:rPr>
        <w:t xml:space="preserve"> NARUC, et al. v. ICC,</w:t>
      </w:r>
      <w:r w:rsidRPr="007A1478">
        <w:rPr>
          <w:rFonts w:ascii="Times New Roman" w:hAnsi="Times New Roman" w:cs="Times New Roman"/>
          <w:sz w:val="21"/>
          <w:szCs w:val="21"/>
        </w:rPr>
        <w:t xml:space="preserve"> 41 F.3d 721 (D.C. Cir 1994) (where the Court explains “[c]</w:t>
      </w:r>
      <w:proofErr w:type="spellStart"/>
      <w:r w:rsidRPr="007A1478">
        <w:rPr>
          <w:rFonts w:ascii="Times New Roman" w:hAnsi="Times New Roman" w:cs="Times New Roman"/>
          <w:sz w:val="21"/>
          <w:szCs w:val="21"/>
        </w:rPr>
        <w:t>arriers</w:t>
      </w:r>
      <w:proofErr w:type="spellEnd"/>
      <w:r w:rsidRPr="007A1478">
        <w:rPr>
          <w:rFonts w:ascii="Times New Roman" w:hAnsi="Times New Roman" w:cs="Times New Roman"/>
          <w:sz w:val="21"/>
          <w:szCs w:val="21"/>
        </w:rPr>
        <w:t xml:space="preserve">, to get the cards, applied to . . . [NARUC], an interstate umbrella organization that, as envisioned by Congress, played a role in drafting the regulations that the ICC issued to create the "bingo card" system.). </w:t>
      </w:r>
    </w:p>
    <w:p w14:paraId="4BDCCAD8" w14:textId="77777777" w:rsidR="00EF29CA" w:rsidRPr="007A1478" w:rsidRDefault="00EF29CA" w:rsidP="007A1478">
      <w:pPr>
        <w:pStyle w:val="FootnoteText"/>
        <w:tabs>
          <w:tab w:val="left" w:pos="720"/>
        </w:tabs>
        <w:jc w:val="both"/>
        <w:rPr>
          <w:rFonts w:ascii="Times New Roman" w:hAnsi="Times New Roman" w:cs="Times New Roman"/>
          <w:sz w:val="21"/>
          <w:szCs w:val="21"/>
        </w:rPr>
      </w:pPr>
    </w:p>
  </w:footnote>
  <w:footnote w:id="10">
    <w:p w14:paraId="58A328D7" w14:textId="77777777" w:rsidR="004159A5" w:rsidRPr="007A1478" w:rsidRDefault="004159A5" w:rsidP="007A1478">
      <w:pPr>
        <w:pStyle w:val="FootnoteText"/>
        <w:jc w:val="both"/>
        <w:rPr>
          <w:rStyle w:val="field"/>
          <w:rFonts w:ascii="Times New Roman" w:hAnsi="Times New Roman" w:cs="Times New Roman"/>
          <w:sz w:val="21"/>
          <w:szCs w:val="21"/>
        </w:rPr>
      </w:pPr>
      <w:r w:rsidRPr="007A1478">
        <w:rPr>
          <w:rStyle w:val="FootnoteReference"/>
          <w:rFonts w:ascii="Times New Roman" w:hAnsi="Times New Roman" w:cs="Times New Roman"/>
          <w:sz w:val="21"/>
          <w:szCs w:val="21"/>
        </w:rPr>
        <w:footnoteRef/>
      </w:r>
      <w:r w:rsidRPr="007A1478">
        <w:rPr>
          <w:rFonts w:ascii="Times New Roman" w:hAnsi="Times New Roman" w:cs="Times New Roman"/>
          <w:sz w:val="21"/>
          <w:szCs w:val="21"/>
        </w:rPr>
        <w:t xml:space="preserve"> </w:t>
      </w:r>
      <w:r w:rsidRPr="007A1478">
        <w:rPr>
          <w:rFonts w:ascii="Times New Roman" w:hAnsi="Times New Roman" w:cs="Times New Roman"/>
          <w:sz w:val="21"/>
          <w:szCs w:val="21"/>
        </w:rPr>
        <w:tab/>
        <w:t>Troutman, Eric,</w:t>
      </w:r>
      <w:r w:rsidRPr="007A1478">
        <w:rPr>
          <w:rFonts w:ascii="Times New Roman" w:hAnsi="Times New Roman" w:cs="Times New Roman"/>
          <w:i/>
          <w:iCs/>
          <w:sz w:val="21"/>
          <w:szCs w:val="21"/>
        </w:rPr>
        <w:t xml:space="preserve"> </w:t>
      </w:r>
      <w:r w:rsidRPr="007A1478">
        <w:rPr>
          <w:rStyle w:val="field"/>
          <w:rFonts w:ascii="Times New Roman" w:hAnsi="Times New Roman" w:cs="Times New Roman"/>
          <w:i/>
          <w:iCs/>
          <w:sz w:val="21"/>
          <w:szCs w:val="21"/>
        </w:rPr>
        <w:t>What is the TCPA?: Here’s a Quick Background on America’s Anti-Robocall Statute Every Call Center Must Know</w:t>
      </w:r>
      <w:r w:rsidRPr="007A1478">
        <w:rPr>
          <w:rStyle w:val="field"/>
          <w:rFonts w:ascii="Times New Roman" w:hAnsi="Times New Roman" w:cs="Times New Roman"/>
          <w:sz w:val="21"/>
          <w:szCs w:val="21"/>
        </w:rPr>
        <w:t xml:space="preserve">, </w:t>
      </w:r>
      <w:proofErr w:type="spellStart"/>
      <w:r w:rsidRPr="007A1478">
        <w:rPr>
          <w:rStyle w:val="field"/>
          <w:rFonts w:ascii="Times New Roman" w:hAnsi="Times New Roman" w:cs="Times New Roman"/>
          <w:sz w:val="21"/>
          <w:szCs w:val="21"/>
        </w:rPr>
        <w:t>TCPAWorld</w:t>
      </w:r>
      <w:proofErr w:type="spellEnd"/>
      <w:r w:rsidRPr="007A1478">
        <w:rPr>
          <w:rStyle w:val="field"/>
          <w:rFonts w:ascii="Times New Roman" w:hAnsi="Times New Roman" w:cs="Times New Roman"/>
          <w:sz w:val="21"/>
          <w:szCs w:val="21"/>
        </w:rPr>
        <w:t xml:space="preserve"> (November 19, 2024) available online at:  </w:t>
      </w:r>
      <w:hyperlink r:id="rId4" w:history="1">
        <w:r w:rsidRPr="007A1478">
          <w:rPr>
            <w:rStyle w:val="Hyperlink"/>
            <w:rFonts w:ascii="Times New Roman" w:hAnsi="Times New Roman" w:cs="Times New Roman"/>
            <w:sz w:val="21"/>
            <w:szCs w:val="21"/>
          </w:rPr>
          <w:t>https://natlawreview.com/article/what-tcpa-heres-quick-background-americas-anti-robocall-statute-every-call-center</w:t>
        </w:r>
      </w:hyperlink>
      <w:r w:rsidRPr="007A1478">
        <w:rPr>
          <w:rStyle w:val="field"/>
          <w:rFonts w:ascii="Times New Roman" w:hAnsi="Times New Roman" w:cs="Times New Roman"/>
          <w:sz w:val="21"/>
          <w:szCs w:val="21"/>
        </w:rPr>
        <w:t xml:space="preserve"> </w:t>
      </w:r>
    </w:p>
    <w:p w14:paraId="0662A45D" w14:textId="77777777" w:rsidR="004159A5" w:rsidRPr="007A1478" w:rsidRDefault="004159A5" w:rsidP="007A1478">
      <w:pPr>
        <w:pStyle w:val="FootnoteText"/>
        <w:jc w:val="both"/>
        <w:rPr>
          <w:rFonts w:ascii="Times New Roman" w:hAnsi="Times New Roman" w:cs="Times New Roman"/>
          <w:sz w:val="21"/>
          <w:szCs w:val="21"/>
        </w:rPr>
      </w:pPr>
    </w:p>
  </w:footnote>
  <w:footnote w:id="11">
    <w:p w14:paraId="1148389D" w14:textId="77777777" w:rsidR="004159A5" w:rsidRPr="007A1478" w:rsidRDefault="004159A5" w:rsidP="007A1478">
      <w:pPr>
        <w:kinsoku w:val="0"/>
        <w:overflowPunct w:val="0"/>
        <w:autoSpaceDE w:val="0"/>
        <w:autoSpaceDN w:val="0"/>
        <w:adjustRightInd w:val="0"/>
        <w:spacing w:after="0" w:line="240" w:lineRule="auto"/>
        <w:ind w:left="40"/>
        <w:jc w:val="both"/>
        <w:rPr>
          <w:rFonts w:ascii="Times New Roman" w:hAnsi="Times New Roman" w:cs="Times New Roman"/>
          <w:sz w:val="21"/>
          <w:szCs w:val="21"/>
        </w:rPr>
      </w:pPr>
      <w:r w:rsidRPr="007A1478">
        <w:rPr>
          <w:rStyle w:val="FootnoteReference"/>
          <w:rFonts w:ascii="Times New Roman" w:hAnsi="Times New Roman" w:cs="Times New Roman"/>
          <w:sz w:val="21"/>
          <w:szCs w:val="21"/>
        </w:rPr>
        <w:footnoteRef/>
      </w:r>
      <w:r w:rsidRPr="007A1478">
        <w:rPr>
          <w:rFonts w:ascii="Times New Roman" w:hAnsi="Times New Roman" w:cs="Times New Roman"/>
          <w:sz w:val="21"/>
          <w:szCs w:val="21"/>
        </w:rPr>
        <w:t xml:space="preserve"> </w:t>
      </w:r>
      <w:r w:rsidRPr="007A1478">
        <w:rPr>
          <w:rFonts w:ascii="Times New Roman" w:hAnsi="Times New Roman" w:cs="Times New Roman"/>
          <w:sz w:val="21"/>
          <w:szCs w:val="21"/>
        </w:rPr>
        <w:tab/>
      </w:r>
      <w:r w:rsidRPr="007A1478">
        <w:rPr>
          <w:rFonts w:ascii="Times New Roman" w:hAnsi="Times New Roman" w:cs="Times New Roman"/>
          <w:i/>
          <w:iCs/>
          <w:sz w:val="21"/>
          <w:szCs w:val="21"/>
        </w:rPr>
        <w:t>Rules and Regulations Implementing the Telephone Consumer Protection Act of 1991</w:t>
      </w:r>
      <w:r w:rsidRPr="007A1478">
        <w:rPr>
          <w:rFonts w:ascii="Times New Roman" w:hAnsi="Times New Roman" w:cs="Times New Roman"/>
          <w:sz w:val="21"/>
          <w:szCs w:val="21"/>
        </w:rPr>
        <w:t xml:space="preserve">, Declaratory Ruling, 31 FCC </w:t>
      </w:r>
      <w:proofErr w:type="spellStart"/>
      <w:r w:rsidRPr="007A1478">
        <w:rPr>
          <w:rFonts w:ascii="Times New Roman" w:hAnsi="Times New Roman" w:cs="Times New Roman"/>
          <w:sz w:val="21"/>
          <w:szCs w:val="21"/>
        </w:rPr>
        <w:t>Rcd</w:t>
      </w:r>
      <w:proofErr w:type="spellEnd"/>
      <w:r w:rsidRPr="007A1478">
        <w:rPr>
          <w:rFonts w:ascii="Times New Roman" w:hAnsi="Times New Roman" w:cs="Times New Roman"/>
          <w:spacing w:val="-3"/>
          <w:sz w:val="21"/>
          <w:szCs w:val="21"/>
        </w:rPr>
        <w:t xml:space="preserve"> </w:t>
      </w:r>
      <w:r w:rsidRPr="007A1478">
        <w:rPr>
          <w:rFonts w:ascii="Times New Roman" w:hAnsi="Times New Roman" w:cs="Times New Roman"/>
          <w:sz w:val="21"/>
          <w:szCs w:val="21"/>
        </w:rPr>
        <w:t>9054 ¶</w:t>
      </w:r>
      <w:r w:rsidRPr="007A1478">
        <w:rPr>
          <w:rFonts w:ascii="Times New Roman" w:hAnsi="Times New Roman" w:cs="Times New Roman"/>
          <w:spacing w:val="-2"/>
          <w:sz w:val="21"/>
          <w:szCs w:val="21"/>
        </w:rPr>
        <w:t xml:space="preserve"> </w:t>
      </w:r>
      <w:r w:rsidRPr="007A1478">
        <w:rPr>
          <w:rFonts w:ascii="Times New Roman" w:hAnsi="Times New Roman" w:cs="Times New Roman"/>
          <w:sz w:val="21"/>
          <w:szCs w:val="21"/>
        </w:rPr>
        <w:t>1 (2016)</w:t>
      </w:r>
    </w:p>
  </w:footnote>
  <w:footnote w:id="12">
    <w:p w14:paraId="1AB094B0" w14:textId="77777777" w:rsidR="004159A5" w:rsidRPr="007A1478" w:rsidRDefault="004159A5" w:rsidP="007A1478">
      <w:pPr>
        <w:pStyle w:val="FootnoteText"/>
        <w:jc w:val="both"/>
        <w:rPr>
          <w:rFonts w:ascii="Times New Roman" w:hAnsi="Times New Roman" w:cs="Times New Roman"/>
          <w:sz w:val="21"/>
          <w:szCs w:val="21"/>
        </w:rPr>
      </w:pPr>
      <w:r w:rsidRPr="007A1478">
        <w:rPr>
          <w:rStyle w:val="FootnoteReference"/>
          <w:rFonts w:ascii="Times New Roman" w:hAnsi="Times New Roman" w:cs="Times New Roman"/>
          <w:sz w:val="21"/>
          <w:szCs w:val="21"/>
        </w:rPr>
        <w:footnoteRef/>
      </w:r>
      <w:r w:rsidRPr="007A1478">
        <w:rPr>
          <w:rFonts w:ascii="Times New Roman" w:hAnsi="Times New Roman" w:cs="Times New Roman"/>
          <w:sz w:val="21"/>
          <w:szCs w:val="21"/>
        </w:rPr>
        <w:t xml:space="preserve"> </w:t>
      </w:r>
      <w:r w:rsidRPr="007A1478">
        <w:rPr>
          <w:rFonts w:ascii="Times New Roman" w:hAnsi="Times New Roman" w:cs="Times New Roman"/>
          <w:sz w:val="21"/>
          <w:szCs w:val="21"/>
        </w:rPr>
        <w:tab/>
        <w:t xml:space="preserve">31 FCC </w:t>
      </w:r>
      <w:proofErr w:type="spellStart"/>
      <w:r w:rsidRPr="007A1478">
        <w:rPr>
          <w:rFonts w:ascii="Times New Roman" w:hAnsi="Times New Roman" w:cs="Times New Roman"/>
          <w:sz w:val="21"/>
          <w:szCs w:val="21"/>
        </w:rPr>
        <w:t>Rcd</w:t>
      </w:r>
      <w:proofErr w:type="spellEnd"/>
      <w:r w:rsidRPr="007A1478">
        <w:rPr>
          <w:rFonts w:ascii="Times New Roman" w:hAnsi="Times New Roman" w:cs="Times New Roman"/>
          <w:spacing w:val="-3"/>
          <w:sz w:val="21"/>
          <w:szCs w:val="21"/>
        </w:rPr>
        <w:t xml:space="preserve"> </w:t>
      </w:r>
      <w:r w:rsidRPr="007A1478">
        <w:rPr>
          <w:rFonts w:ascii="Times New Roman" w:hAnsi="Times New Roman" w:cs="Times New Roman"/>
          <w:sz w:val="21"/>
          <w:szCs w:val="21"/>
        </w:rPr>
        <w:t>9054 at ¶</w:t>
      </w:r>
      <w:r w:rsidRPr="007A1478">
        <w:rPr>
          <w:rFonts w:ascii="Times New Roman" w:hAnsi="Times New Roman" w:cs="Times New Roman"/>
          <w:spacing w:val="-2"/>
          <w:sz w:val="21"/>
          <w:szCs w:val="21"/>
        </w:rPr>
        <w:t xml:space="preserve"> 30</w:t>
      </w:r>
    </w:p>
  </w:footnote>
  <w:footnote w:id="13">
    <w:p w14:paraId="0344D984" w14:textId="77777777" w:rsidR="004159A5" w:rsidRPr="007A1478" w:rsidRDefault="004159A5" w:rsidP="007A1478">
      <w:pPr>
        <w:pStyle w:val="FootnoteText"/>
        <w:jc w:val="both"/>
        <w:rPr>
          <w:rFonts w:ascii="Times New Roman" w:eastAsia="Calibri" w:hAnsi="Times New Roman" w:cs="Times New Roman"/>
          <w:sz w:val="21"/>
          <w:szCs w:val="21"/>
        </w:rPr>
      </w:pPr>
    </w:p>
    <w:p w14:paraId="03594B90" w14:textId="77777777" w:rsidR="004159A5" w:rsidRPr="007A1478" w:rsidRDefault="004159A5" w:rsidP="007A1478">
      <w:pPr>
        <w:pStyle w:val="FootnoteText"/>
        <w:jc w:val="both"/>
        <w:rPr>
          <w:rFonts w:ascii="Times New Roman" w:eastAsia="Calibri" w:hAnsi="Times New Roman" w:cs="Times New Roman"/>
          <w:sz w:val="21"/>
          <w:szCs w:val="21"/>
        </w:rPr>
      </w:pPr>
      <w:r w:rsidRPr="007A1478">
        <w:rPr>
          <w:rStyle w:val="FootnoteReference"/>
          <w:rFonts w:ascii="Times New Roman" w:eastAsia="Calibri" w:hAnsi="Times New Roman" w:cs="Times New Roman"/>
          <w:color w:val="000000" w:themeColor="text1"/>
          <w:sz w:val="21"/>
          <w:szCs w:val="21"/>
        </w:rPr>
        <w:footnoteRef/>
      </w:r>
      <w:r w:rsidRPr="007A1478">
        <w:rPr>
          <w:rFonts w:ascii="Times New Roman" w:eastAsia="Calibri" w:hAnsi="Times New Roman" w:cs="Times New Roman"/>
          <w:sz w:val="21"/>
          <w:szCs w:val="21"/>
        </w:rPr>
        <w:t xml:space="preserve"> </w:t>
      </w:r>
      <w:r w:rsidRPr="007A1478">
        <w:rPr>
          <w:rFonts w:ascii="Times New Roman" w:eastAsia="Calibri" w:hAnsi="Times New Roman" w:cs="Times New Roman"/>
          <w:sz w:val="21"/>
          <w:szCs w:val="21"/>
        </w:rPr>
        <w:tab/>
      </w:r>
      <w:r w:rsidRPr="007A1478">
        <w:rPr>
          <w:rFonts w:ascii="Times New Roman" w:eastAsia="Calibri" w:hAnsi="Times New Roman" w:cs="Times New Roman"/>
          <w:i/>
          <w:iCs/>
          <w:sz w:val="21"/>
          <w:szCs w:val="21"/>
        </w:rPr>
        <w:t>Rules and Regulations Implementing the Telephone Consumer Protection Act of 1991</w:t>
      </w:r>
      <w:r w:rsidRPr="007A1478">
        <w:rPr>
          <w:rFonts w:ascii="Times New Roman" w:eastAsia="Calibri" w:hAnsi="Times New Roman" w:cs="Times New Roman"/>
          <w:sz w:val="21"/>
          <w:szCs w:val="21"/>
        </w:rPr>
        <w:t xml:space="preserve">, Order on Reconsideration and Declaratory Ruling, 37 FCC </w:t>
      </w:r>
      <w:proofErr w:type="spellStart"/>
      <w:r w:rsidRPr="007A1478">
        <w:rPr>
          <w:rFonts w:ascii="Times New Roman" w:eastAsia="Calibri" w:hAnsi="Times New Roman" w:cs="Times New Roman"/>
          <w:sz w:val="21"/>
          <w:szCs w:val="21"/>
        </w:rPr>
        <w:t>Rcd</w:t>
      </w:r>
      <w:proofErr w:type="spellEnd"/>
      <w:r w:rsidRPr="007A1478">
        <w:rPr>
          <w:rFonts w:ascii="Times New Roman" w:eastAsia="Calibri" w:hAnsi="Times New Roman" w:cs="Times New Roman"/>
          <w:sz w:val="21"/>
          <w:szCs w:val="21"/>
        </w:rPr>
        <w:t xml:space="preserve"> 15472 ¶¶ 52-57 (2022).</w:t>
      </w:r>
    </w:p>
    <w:p w14:paraId="6EFC1D99" w14:textId="77777777" w:rsidR="002024B7" w:rsidRPr="007A1478" w:rsidRDefault="002024B7" w:rsidP="007A1478">
      <w:pPr>
        <w:pStyle w:val="FootnoteText"/>
        <w:jc w:val="both"/>
        <w:rPr>
          <w:rFonts w:ascii="Times New Roman" w:eastAsia="Calibri" w:hAnsi="Times New Roman" w:cs="Times New Roman"/>
          <w:sz w:val="21"/>
          <w:szCs w:val="21"/>
          <w:vertAlign w:val="superscript"/>
        </w:rPr>
      </w:pPr>
    </w:p>
  </w:footnote>
  <w:footnote w:id="14">
    <w:p w14:paraId="4DF15378" w14:textId="29DEC8A7" w:rsidR="00A301CC" w:rsidRPr="007A1478" w:rsidRDefault="00A301CC" w:rsidP="007A1478">
      <w:pPr>
        <w:pStyle w:val="FootnoteText"/>
        <w:jc w:val="both"/>
        <w:rPr>
          <w:rFonts w:ascii="Times New Roman" w:hAnsi="Times New Roman" w:cs="Times New Roman"/>
        </w:rPr>
      </w:pPr>
      <w:r w:rsidRPr="007A1478">
        <w:rPr>
          <w:rStyle w:val="FootnoteReference"/>
          <w:rFonts w:ascii="Times New Roman" w:hAnsi="Times New Roman" w:cs="Times New Roman"/>
        </w:rPr>
        <w:footnoteRef/>
      </w:r>
      <w:r w:rsidRPr="007A1478">
        <w:rPr>
          <w:rFonts w:ascii="Times New Roman" w:hAnsi="Times New Roman" w:cs="Times New Roman"/>
        </w:rPr>
        <w:t xml:space="preserve"> </w:t>
      </w:r>
      <w:r w:rsidRPr="007A1478">
        <w:rPr>
          <w:rFonts w:ascii="Times New Roman" w:hAnsi="Times New Roman" w:cs="Times New Roman"/>
        </w:rPr>
        <w:tab/>
      </w:r>
      <w:r w:rsidR="00DB180D" w:rsidRPr="007A1478">
        <w:rPr>
          <w:rFonts w:ascii="Times New Roman" w:hAnsi="Times New Roman" w:cs="Times New Roman"/>
        </w:rPr>
        <w:t>This removal was acknowledged, albeit obliquely, in the 2016</w:t>
      </w:r>
      <w:r w:rsidR="00124193" w:rsidRPr="007A1478">
        <w:rPr>
          <w:rFonts w:ascii="Times New Roman" w:hAnsi="Times New Roman" w:cs="Times New Roman"/>
        </w:rPr>
        <w:t xml:space="preserve"> Declaratory ruling.  See, </w:t>
      </w:r>
      <w:r w:rsidR="00CA3042" w:rsidRPr="007A1478">
        <w:rPr>
          <w:rFonts w:ascii="Times New Roman" w:hAnsi="Times New Roman" w:cs="Times New Roman"/>
          <w:sz w:val="21"/>
          <w:szCs w:val="21"/>
        </w:rPr>
        <w:t xml:space="preserve">31 FCC </w:t>
      </w:r>
      <w:proofErr w:type="spellStart"/>
      <w:r w:rsidR="00CA3042" w:rsidRPr="007A1478">
        <w:rPr>
          <w:rFonts w:ascii="Times New Roman" w:hAnsi="Times New Roman" w:cs="Times New Roman"/>
          <w:sz w:val="21"/>
          <w:szCs w:val="21"/>
        </w:rPr>
        <w:t>Rcd</w:t>
      </w:r>
      <w:proofErr w:type="spellEnd"/>
      <w:r w:rsidR="00CA3042" w:rsidRPr="007A1478">
        <w:rPr>
          <w:rFonts w:ascii="Times New Roman" w:hAnsi="Times New Roman" w:cs="Times New Roman"/>
          <w:spacing w:val="-3"/>
          <w:sz w:val="21"/>
          <w:szCs w:val="21"/>
        </w:rPr>
        <w:t xml:space="preserve"> </w:t>
      </w:r>
      <w:r w:rsidR="00CA3042" w:rsidRPr="007A1478">
        <w:rPr>
          <w:rFonts w:ascii="Times New Roman" w:hAnsi="Times New Roman" w:cs="Times New Roman"/>
          <w:sz w:val="21"/>
          <w:szCs w:val="21"/>
        </w:rPr>
        <w:t xml:space="preserve">9054 </w:t>
      </w:r>
      <w:r w:rsidR="00CA3042" w:rsidRPr="007A1478">
        <w:rPr>
          <w:rFonts w:ascii="Times New Roman" w:eastAsia="Calibri" w:hAnsi="Times New Roman" w:cs="Times New Roman"/>
          <w:i/>
          <w:iCs/>
        </w:rPr>
        <w:t xml:space="preserve"> at</w:t>
      </w:r>
      <w:r w:rsidR="00CA3042" w:rsidRPr="007A1478">
        <w:rPr>
          <w:rFonts w:ascii="Times New Roman" w:eastAsia="Calibri" w:hAnsi="Times New Roman" w:cs="Times New Roman"/>
        </w:rPr>
        <w:t xml:space="preserve"> </w:t>
      </w:r>
      <w:r w:rsidR="00FA2D98" w:rsidRPr="007A1478">
        <w:rPr>
          <w:rFonts w:ascii="Times New Roman" w:eastAsia="Calibri" w:hAnsi="Times New Roman" w:cs="Times New Roman"/>
        </w:rPr>
        <w:t xml:space="preserve"> </w:t>
      </w:r>
      <w:r w:rsidR="00CA3042" w:rsidRPr="007A1478">
        <w:rPr>
          <w:rFonts w:ascii="Times New Roman" w:eastAsia="Calibri" w:hAnsi="Times New Roman" w:cs="Times New Roman"/>
        </w:rPr>
        <w:t>¶</w:t>
      </w:r>
      <w:r w:rsidR="007A1478">
        <w:rPr>
          <w:rFonts w:ascii="Times New Roman" w:eastAsia="Calibri" w:hAnsi="Times New Roman" w:cs="Times New Roman"/>
        </w:rPr>
        <w:t xml:space="preserve"> </w:t>
      </w:r>
      <w:r w:rsidR="00FA2D98" w:rsidRPr="007A1478">
        <w:rPr>
          <w:rFonts w:ascii="Times New Roman" w:eastAsia="Calibri" w:hAnsi="Times New Roman" w:cs="Times New Roman"/>
        </w:rPr>
        <w:t>27</w:t>
      </w:r>
      <w:r w:rsidR="00CA3042" w:rsidRPr="007A1478">
        <w:rPr>
          <w:rFonts w:ascii="Times New Roman" w:eastAsia="Calibri" w:hAnsi="Times New Roman" w:cs="Times New Roman"/>
        </w:rPr>
        <w:t xml:space="preserve"> </w:t>
      </w:r>
      <w:r w:rsidR="00FA2D98" w:rsidRPr="007A1478">
        <w:rPr>
          <w:rFonts w:ascii="Times New Roman" w:eastAsia="Calibri" w:hAnsi="Times New Roman" w:cs="Times New Roman"/>
        </w:rPr>
        <w:t xml:space="preserve"> citing to an </w:t>
      </w:r>
      <w:r w:rsidR="00F56AED" w:rsidRPr="007A1478">
        <w:rPr>
          <w:rFonts w:ascii="Times New Roman" w:hAnsi="Times New Roman" w:cs="Times New Roman"/>
          <w:i/>
          <w:iCs/>
        </w:rPr>
        <w:t xml:space="preserve">Ex </w:t>
      </w:r>
      <w:proofErr w:type="spellStart"/>
      <w:r w:rsidR="00F56AED" w:rsidRPr="007A1478">
        <w:rPr>
          <w:rFonts w:ascii="Times New Roman" w:hAnsi="Times New Roman" w:cs="Times New Roman"/>
          <w:i/>
          <w:iCs/>
        </w:rPr>
        <w:t>Parte</w:t>
      </w:r>
      <w:proofErr w:type="spellEnd"/>
      <w:r w:rsidR="00F56AED" w:rsidRPr="007A1478">
        <w:rPr>
          <w:rFonts w:ascii="Times New Roman" w:hAnsi="Times New Roman" w:cs="Times New Roman"/>
          <w:i/>
          <w:iCs/>
        </w:rPr>
        <w:t xml:space="preserve"> </w:t>
      </w:r>
      <w:r w:rsidR="00627222" w:rsidRPr="007A1478">
        <w:rPr>
          <w:rFonts w:ascii="Times New Roman" w:hAnsi="Times New Roman" w:cs="Times New Roman"/>
          <w:i/>
          <w:iCs/>
        </w:rPr>
        <w:t xml:space="preserve">Letter from Scott Blake Harris, Counsel for Edison Electric Institute </w:t>
      </w:r>
      <w:r w:rsidR="00627222" w:rsidRPr="007A1478">
        <w:rPr>
          <w:rFonts w:ascii="Times New Roman" w:hAnsi="Times New Roman" w:cs="Times New Roman"/>
        </w:rPr>
        <w:t xml:space="preserve">, </w:t>
      </w:r>
      <w:r w:rsidR="00F56AED" w:rsidRPr="007A1478">
        <w:rPr>
          <w:rFonts w:ascii="Times New Roman" w:hAnsi="Times New Roman" w:cs="Times New Roman"/>
        </w:rPr>
        <w:t xml:space="preserve">filed </w:t>
      </w:r>
      <w:r w:rsidR="0049780A" w:rsidRPr="007A1478">
        <w:rPr>
          <w:rFonts w:ascii="Times New Roman" w:hAnsi="Times New Roman" w:cs="Times New Roman"/>
        </w:rPr>
        <w:t xml:space="preserve">June 9, 2015 </w:t>
      </w:r>
      <w:r w:rsidR="00F56AED" w:rsidRPr="007A1478">
        <w:rPr>
          <w:rFonts w:ascii="Times New Roman" w:hAnsi="Times New Roman" w:cs="Times New Roman"/>
        </w:rPr>
        <w:t xml:space="preserve">in CG </w:t>
      </w:r>
      <w:r w:rsidR="0049780A" w:rsidRPr="007A1478">
        <w:rPr>
          <w:rFonts w:ascii="Times New Roman" w:hAnsi="Times New Roman" w:cs="Times New Roman"/>
        </w:rPr>
        <w:t>Docke</w:t>
      </w:r>
      <w:r w:rsidR="00F56AED" w:rsidRPr="007A1478">
        <w:rPr>
          <w:rFonts w:ascii="Times New Roman" w:hAnsi="Times New Roman" w:cs="Times New Roman"/>
        </w:rPr>
        <w:t>t No. 02-278</w:t>
      </w:r>
      <w:r w:rsidR="0049780A" w:rsidRPr="007A1478">
        <w:rPr>
          <w:rFonts w:ascii="Times New Roman" w:hAnsi="Times New Roman" w:cs="Times New Roman"/>
        </w:rPr>
        <w:t>, online at</w:t>
      </w:r>
      <w:r w:rsidR="00FA2D98" w:rsidRPr="007A1478">
        <w:rPr>
          <w:rFonts w:ascii="Times New Roman" w:hAnsi="Times New Roman" w:cs="Times New Roman"/>
        </w:rPr>
        <w:t>:</w:t>
      </w:r>
      <w:r w:rsidR="00627222" w:rsidRPr="007A1478">
        <w:rPr>
          <w:rFonts w:ascii="Times New Roman" w:hAnsi="Times New Roman" w:cs="Times New Roman"/>
        </w:rPr>
        <w:t xml:space="preserve"> </w:t>
      </w:r>
      <w:hyperlink r:id="rId5" w:history="1">
        <w:r w:rsidR="0049780A" w:rsidRPr="007A1478">
          <w:rPr>
            <w:rStyle w:val="Hyperlink"/>
            <w:rFonts w:ascii="Times New Roman" w:hAnsi="Times New Roman" w:cs="Times New Roman"/>
          </w:rPr>
          <w:t>https://www.fcc.gov/ecfs/document/60001060534/1</w:t>
        </w:r>
      </w:hyperlink>
      <w:r w:rsidR="0049780A" w:rsidRPr="007A1478">
        <w:rPr>
          <w:rFonts w:ascii="Times New Roman" w:hAnsi="Times New Roman" w:cs="Times New Roman"/>
        </w:rPr>
        <w:t xml:space="preserve"> </w:t>
      </w:r>
      <w:r w:rsidR="00B07F6E" w:rsidRPr="007A1478">
        <w:rPr>
          <w:rFonts w:ascii="Times New Roman" w:hAnsi="Times New Roman" w:cs="Times New Roman"/>
        </w:rPr>
        <w:t xml:space="preserve"> See also </w:t>
      </w:r>
      <w:r w:rsidR="00BE0481" w:rsidRPr="007A1478">
        <w:rPr>
          <w:rFonts w:ascii="Times New Roman" w:hAnsi="Times New Roman" w:cs="Times New Roman"/>
          <w:sz w:val="21"/>
          <w:szCs w:val="21"/>
        </w:rPr>
        <w:t xml:space="preserve">31 FCC </w:t>
      </w:r>
      <w:proofErr w:type="spellStart"/>
      <w:r w:rsidR="00BE0481" w:rsidRPr="007A1478">
        <w:rPr>
          <w:rFonts w:ascii="Times New Roman" w:hAnsi="Times New Roman" w:cs="Times New Roman"/>
          <w:sz w:val="21"/>
          <w:szCs w:val="21"/>
        </w:rPr>
        <w:t>Rcd</w:t>
      </w:r>
      <w:proofErr w:type="spellEnd"/>
      <w:r w:rsidR="00BE0481" w:rsidRPr="007A1478">
        <w:rPr>
          <w:rFonts w:ascii="Times New Roman" w:hAnsi="Times New Roman" w:cs="Times New Roman"/>
          <w:spacing w:val="-3"/>
          <w:sz w:val="21"/>
          <w:szCs w:val="21"/>
        </w:rPr>
        <w:t xml:space="preserve"> </w:t>
      </w:r>
      <w:r w:rsidR="00BE0481" w:rsidRPr="007A1478">
        <w:rPr>
          <w:rFonts w:ascii="Times New Roman" w:hAnsi="Times New Roman" w:cs="Times New Roman"/>
          <w:sz w:val="21"/>
          <w:szCs w:val="21"/>
        </w:rPr>
        <w:t xml:space="preserve">9054 </w:t>
      </w:r>
      <w:r w:rsidR="00BE0481" w:rsidRPr="007A1478">
        <w:rPr>
          <w:rFonts w:ascii="Times New Roman" w:eastAsia="Calibri" w:hAnsi="Times New Roman" w:cs="Times New Roman"/>
          <w:i/>
          <w:iCs/>
        </w:rPr>
        <w:t>at</w:t>
      </w:r>
      <w:r w:rsidR="00BE0481" w:rsidRPr="007A1478">
        <w:rPr>
          <w:rFonts w:ascii="Times New Roman" w:eastAsia="Calibri" w:hAnsi="Times New Roman" w:cs="Times New Roman"/>
        </w:rPr>
        <w:t xml:space="preserve"> ¶</w:t>
      </w:r>
      <w:r w:rsidR="007A1478">
        <w:rPr>
          <w:rFonts w:ascii="Times New Roman" w:eastAsia="Calibri" w:hAnsi="Times New Roman" w:cs="Times New Roman"/>
        </w:rPr>
        <w:t xml:space="preserve"> </w:t>
      </w:r>
      <w:r w:rsidR="009D02E0" w:rsidRPr="007A1478">
        <w:rPr>
          <w:rFonts w:ascii="Times New Roman" w:eastAsia="Calibri" w:hAnsi="Times New Roman" w:cs="Times New Roman"/>
        </w:rPr>
        <w:t>15 n. 63</w:t>
      </w:r>
      <w:r w:rsidR="009A1AF9" w:rsidRPr="007A1478">
        <w:rPr>
          <w:rFonts w:ascii="Times New Roman" w:eastAsia="Calibri" w:hAnsi="Times New Roman" w:cs="Times New Roman"/>
        </w:rPr>
        <w:t>.</w:t>
      </w:r>
    </w:p>
  </w:footnote>
  <w:footnote w:id="15">
    <w:p w14:paraId="15E8DB49" w14:textId="722FC313" w:rsidR="00F74C8B" w:rsidRPr="007A1478" w:rsidRDefault="00F74C8B" w:rsidP="007A1478">
      <w:pPr>
        <w:pStyle w:val="FootnoteText"/>
        <w:jc w:val="both"/>
        <w:rPr>
          <w:rFonts w:ascii="Times New Roman" w:hAnsi="Times New Roman" w:cs="Times New Roman"/>
          <w:sz w:val="21"/>
          <w:szCs w:val="21"/>
        </w:rPr>
      </w:pPr>
      <w:r w:rsidRPr="007A1478">
        <w:rPr>
          <w:rStyle w:val="FootnoteReference"/>
          <w:rFonts w:ascii="Times New Roman" w:hAnsi="Times New Roman" w:cs="Times New Roman"/>
          <w:sz w:val="21"/>
          <w:szCs w:val="21"/>
        </w:rPr>
        <w:footnoteRef/>
      </w:r>
      <w:r w:rsidRPr="007A1478">
        <w:rPr>
          <w:rFonts w:ascii="Times New Roman" w:hAnsi="Times New Roman" w:cs="Times New Roman"/>
          <w:sz w:val="21"/>
          <w:szCs w:val="21"/>
        </w:rPr>
        <w:t xml:space="preserve"> </w:t>
      </w:r>
      <w:r w:rsidRPr="007A1478">
        <w:rPr>
          <w:rFonts w:ascii="Times New Roman" w:hAnsi="Times New Roman" w:cs="Times New Roman"/>
          <w:sz w:val="21"/>
          <w:szCs w:val="21"/>
        </w:rPr>
        <w:tab/>
      </w:r>
      <w:r w:rsidRPr="007A1478">
        <w:rPr>
          <w:rFonts w:ascii="Times New Roman" w:eastAsia="Calibri" w:hAnsi="Times New Roman" w:cs="Times New Roman"/>
          <w:i/>
          <w:iCs/>
          <w:sz w:val="21"/>
          <w:szCs w:val="21"/>
        </w:rPr>
        <w:t>See</w:t>
      </w:r>
      <w:r w:rsidRPr="007A1478">
        <w:rPr>
          <w:rFonts w:ascii="Times New Roman" w:eastAsia="Calibri" w:hAnsi="Times New Roman" w:cs="Times New Roman"/>
          <w:sz w:val="21"/>
          <w:szCs w:val="21"/>
        </w:rPr>
        <w:t xml:space="preserve"> </w:t>
      </w:r>
      <w:r w:rsidRPr="007A1478">
        <w:rPr>
          <w:rFonts w:ascii="Times New Roman" w:eastAsia="Calibri" w:hAnsi="Times New Roman" w:cs="Times New Roman"/>
          <w:i/>
          <w:iCs/>
          <w:sz w:val="21"/>
          <w:szCs w:val="21"/>
        </w:rPr>
        <w:t>Explosive’ demand growth puts more than half of North America at risk of blackouts: NERC</w:t>
      </w:r>
      <w:r w:rsidRPr="007A1478">
        <w:rPr>
          <w:rFonts w:ascii="Times New Roman" w:eastAsia="Calibri" w:hAnsi="Times New Roman" w:cs="Times New Roman"/>
          <w:sz w:val="21"/>
          <w:szCs w:val="21"/>
        </w:rPr>
        <w:t xml:space="preserve">, Robert Walton, Utility Dive (Dec. 18, 2024) (“We’re seeing demand growth like we haven’t seen in decades,” said John Moura, NERC’s director of reliability assessment and planning analysis). </w:t>
      </w:r>
      <w:hyperlink r:id="rId6" w:history="1">
        <w:r w:rsidRPr="007A1478">
          <w:rPr>
            <w:rStyle w:val="Hyperlink"/>
            <w:rFonts w:ascii="Times New Roman" w:eastAsia="Calibri" w:hAnsi="Times New Roman" w:cs="Times New Roman"/>
            <w:sz w:val="21"/>
            <w:szCs w:val="21"/>
          </w:rPr>
          <w:t>https://www.utilitydive.com/news/explosive-demand-growth-blackouts-NERC-LTRA-reliability/735866/</w:t>
        </w:r>
      </w:hyperlink>
      <w:r w:rsidRPr="007A1478">
        <w:rPr>
          <w:rFonts w:ascii="Times New Roman" w:eastAsia="Calibri" w:hAnsi="Times New Roman" w:cs="Times New Roman"/>
          <w:sz w:val="21"/>
          <w:szCs w:val="21"/>
          <w:u w:color="0000FF"/>
        </w:rPr>
        <w:t xml:space="preserve"> </w:t>
      </w:r>
      <w:r w:rsidRPr="007A1478">
        <w:rPr>
          <w:rFonts w:ascii="Times New Roman" w:eastAsia="Calibri" w:hAnsi="Times New Roman" w:cs="Times New Roman"/>
          <w:sz w:val="21"/>
          <w:szCs w:val="21"/>
          <w:u w:val="single" w:color="0000FF"/>
        </w:rPr>
        <w:t xml:space="preserve"> </w:t>
      </w:r>
      <w:r w:rsidRPr="007A1478">
        <w:rPr>
          <w:rFonts w:ascii="Times New Roman" w:hAnsi="Times New Roman" w:cs="Times New Roman"/>
          <w:sz w:val="21"/>
          <w:szCs w:val="21"/>
        </w:rPr>
        <w:t xml:space="preserve"> </w:t>
      </w:r>
    </w:p>
  </w:footnote>
  <w:footnote w:id="16">
    <w:p w14:paraId="2FFBBEF1" w14:textId="77777777" w:rsidR="00F74C8B" w:rsidRPr="007A1478" w:rsidRDefault="00F74C8B" w:rsidP="007A1478">
      <w:pPr>
        <w:pStyle w:val="FootnoteText"/>
        <w:jc w:val="both"/>
        <w:rPr>
          <w:rFonts w:ascii="Times New Roman" w:hAnsi="Times New Roman" w:cs="Times New Roman"/>
          <w:sz w:val="21"/>
          <w:szCs w:val="21"/>
        </w:rPr>
      </w:pPr>
    </w:p>
    <w:p w14:paraId="12BE168A" w14:textId="371D0D47" w:rsidR="0068199C" w:rsidRPr="007A1478" w:rsidRDefault="0068199C" w:rsidP="007A1478">
      <w:pPr>
        <w:pStyle w:val="FootnoteText"/>
        <w:jc w:val="both"/>
        <w:rPr>
          <w:rFonts w:ascii="Times New Roman" w:hAnsi="Times New Roman" w:cs="Times New Roman"/>
          <w:sz w:val="21"/>
          <w:szCs w:val="21"/>
        </w:rPr>
      </w:pPr>
      <w:r w:rsidRPr="007A1478">
        <w:rPr>
          <w:rStyle w:val="FootnoteReference"/>
          <w:rFonts w:ascii="Times New Roman" w:hAnsi="Times New Roman" w:cs="Times New Roman"/>
          <w:sz w:val="21"/>
          <w:szCs w:val="21"/>
        </w:rPr>
        <w:footnoteRef/>
      </w:r>
      <w:r w:rsidRPr="007A1478">
        <w:rPr>
          <w:rFonts w:ascii="Times New Roman" w:hAnsi="Times New Roman" w:cs="Times New Roman"/>
          <w:sz w:val="21"/>
          <w:szCs w:val="21"/>
        </w:rPr>
        <w:t xml:space="preserve"> </w:t>
      </w:r>
      <w:r w:rsidRPr="007A1478">
        <w:rPr>
          <w:rFonts w:ascii="Times New Roman" w:hAnsi="Times New Roman" w:cs="Times New Roman"/>
          <w:sz w:val="21"/>
          <w:szCs w:val="21"/>
        </w:rPr>
        <w:tab/>
      </w:r>
      <w:r w:rsidR="00C56F3D" w:rsidRPr="007A1478">
        <w:rPr>
          <w:rFonts w:ascii="Times New Roman" w:hAnsi="Times New Roman" w:cs="Times New Roman"/>
          <w:sz w:val="21"/>
          <w:szCs w:val="21"/>
        </w:rPr>
        <w:t>I</w:t>
      </w:r>
      <w:r w:rsidR="00C56F3D" w:rsidRPr="007A1478">
        <w:rPr>
          <w:rFonts w:ascii="Times New Roman" w:eastAsia="Calibri" w:hAnsi="Times New Roman" w:cs="Times New Roman"/>
          <w:bCs/>
          <w:color w:val="000000"/>
          <w:sz w:val="21"/>
          <w:szCs w:val="21"/>
        </w:rPr>
        <w:t xml:space="preserve">n the </w:t>
      </w:r>
      <w:r w:rsidR="00C56F3D" w:rsidRPr="007A1478">
        <w:rPr>
          <w:rFonts w:ascii="Times New Roman" w:eastAsia="Calibri" w:hAnsi="Times New Roman" w:cs="Times New Roman"/>
          <w:bCs/>
          <w:i/>
          <w:iCs/>
          <w:color w:val="000000"/>
          <w:sz w:val="21"/>
          <w:szCs w:val="21"/>
        </w:rPr>
        <w:t>2024 Long Term Reliability Assessment</w:t>
      </w:r>
      <w:r w:rsidR="00C56F3D" w:rsidRPr="007A1478">
        <w:rPr>
          <w:rFonts w:ascii="Times New Roman" w:eastAsia="Calibri" w:hAnsi="Times New Roman" w:cs="Times New Roman"/>
          <w:bCs/>
          <w:color w:val="000000"/>
          <w:sz w:val="21"/>
          <w:szCs w:val="21"/>
        </w:rPr>
        <w:t xml:space="preserve"> (“</w:t>
      </w:r>
      <w:r w:rsidR="00C56F3D" w:rsidRPr="007A1478">
        <w:rPr>
          <w:rFonts w:ascii="Times New Roman" w:eastAsia="Calibri" w:hAnsi="Times New Roman" w:cs="Times New Roman"/>
          <w:bCs/>
          <w:i/>
          <w:iCs/>
          <w:color w:val="000000"/>
          <w:sz w:val="21"/>
          <w:szCs w:val="21"/>
        </w:rPr>
        <w:t>LTRA</w:t>
      </w:r>
      <w:r w:rsidR="00C56F3D" w:rsidRPr="007A1478">
        <w:rPr>
          <w:rFonts w:ascii="Times New Roman" w:eastAsia="Calibri" w:hAnsi="Times New Roman" w:cs="Times New Roman"/>
          <w:bCs/>
          <w:color w:val="000000"/>
          <w:sz w:val="21"/>
          <w:szCs w:val="21"/>
        </w:rPr>
        <w:t xml:space="preserve">”), </w:t>
      </w:r>
      <w:proofErr w:type="gramStart"/>
      <w:r w:rsidRPr="007A1478">
        <w:rPr>
          <w:rFonts w:ascii="Times New Roman" w:eastAsia="Calibri" w:hAnsi="Times New Roman" w:cs="Times New Roman"/>
          <w:bCs/>
          <w:color w:val="000000"/>
          <w:sz w:val="21"/>
          <w:szCs w:val="21"/>
        </w:rPr>
        <w:t>NERC’s</w:t>
      </w:r>
      <w:proofErr w:type="gramEnd"/>
      <w:r w:rsidRPr="007A1478">
        <w:rPr>
          <w:rFonts w:ascii="Times New Roman" w:eastAsia="Calibri" w:hAnsi="Times New Roman" w:cs="Times New Roman"/>
          <w:bCs/>
          <w:color w:val="000000"/>
          <w:sz w:val="21"/>
          <w:szCs w:val="21"/>
        </w:rPr>
        <w:t xml:space="preserve"> </w:t>
      </w:r>
      <w:r w:rsidR="00E32463" w:rsidRPr="007A1478">
        <w:rPr>
          <w:rFonts w:ascii="Times New Roman" w:eastAsia="Calibri" w:hAnsi="Times New Roman" w:cs="Times New Roman"/>
          <w:bCs/>
          <w:color w:val="000000"/>
          <w:sz w:val="21"/>
          <w:szCs w:val="21"/>
        </w:rPr>
        <w:t>pointed out “[t]</w:t>
      </w:r>
      <w:r w:rsidR="00E32463" w:rsidRPr="007A1478">
        <w:rPr>
          <w:rFonts w:ascii="Times New Roman" w:hAnsi="Times New Roman" w:cs="Times New Roman"/>
          <w:sz w:val="21"/>
          <w:szCs w:val="21"/>
        </w:rPr>
        <w:t xml:space="preserve"> </w:t>
      </w:r>
      <w:proofErr w:type="gramStart"/>
      <w:r w:rsidR="00E32463" w:rsidRPr="007A1478">
        <w:rPr>
          <w:rFonts w:ascii="Times New Roman" w:eastAsia="Calibri" w:hAnsi="Times New Roman" w:cs="Times New Roman"/>
          <w:bCs/>
          <w:color w:val="000000"/>
          <w:sz w:val="21"/>
          <w:szCs w:val="21"/>
        </w:rPr>
        <w:t>The</w:t>
      </w:r>
      <w:proofErr w:type="gramEnd"/>
      <w:r w:rsidR="00E32463" w:rsidRPr="007A1478">
        <w:rPr>
          <w:rFonts w:ascii="Times New Roman" w:eastAsia="Calibri" w:hAnsi="Times New Roman" w:cs="Times New Roman"/>
          <w:bCs/>
          <w:color w:val="000000"/>
          <w:sz w:val="21"/>
          <w:szCs w:val="21"/>
        </w:rPr>
        <w:t xml:space="preserve"> aggregated BPS-wide projections for both winter and summer have increased massively over the 10-year period” </w:t>
      </w:r>
      <w:proofErr w:type="gramStart"/>
      <w:r w:rsidR="00E32463" w:rsidRPr="007A1478">
        <w:rPr>
          <w:rFonts w:ascii="Times New Roman" w:eastAsia="Calibri" w:hAnsi="Times New Roman" w:cs="Times New Roman"/>
          <w:bCs/>
          <w:color w:val="000000"/>
          <w:sz w:val="21"/>
          <w:szCs w:val="21"/>
        </w:rPr>
        <w:t xml:space="preserve">and </w:t>
      </w:r>
      <w:r w:rsidR="0084108B" w:rsidRPr="007A1478">
        <w:rPr>
          <w:rFonts w:ascii="Times New Roman" w:eastAsia="Calibri" w:hAnsi="Times New Roman" w:cs="Times New Roman"/>
          <w:bCs/>
          <w:color w:val="000000"/>
          <w:sz w:val="21"/>
          <w:szCs w:val="21"/>
        </w:rPr>
        <w:t>also</w:t>
      </w:r>
      <w:proofErr w:type="gramEnd"/>
      <w:r w:rsidR="0084108B" w:rsidRPr="007A1478">
        <w:rPr>
          <w:rFonts w:ascii="Times New Roman" w:eastAsia="Calibri" w:hAnsi="Times New Roman" w:cs="Times New Roman"/>
          <w:bCs/>
          <w:color w:val="000000"/>
          <w:sz w:val="21"/>
          <w:szCs w:val="21"/>
        </w:rPr>
        <w:t xml:space="preserve"> noted</w:t>
      </w:r>
      <w:r w:rsidR="00E32463" w:rsidRPr="007A1478">
        <w:rPr>
          <w:rFonts w:ascii="Times New Roman" w:eastAsia="Calibri" w:hAnsi="Times New Roman" w:cs="Times New Roman"/>
          <w:bCs/>
          <w:color w:val="000000"/>
          <w:sz w:val="21"/>
          <w:szCs w:val="21"/>
        </w:rPr>
        <w:t xml:space="preserve"> the </w:t>
      </w:r>
      <w:r w:rsidRPr="007A1478">
        <w:rPr>
          <w:rFonts w:ascii="Times New Roman" w:eastAsia="Calibri" w:hAnsi="Times New Roman" w:cs="Times New Roman"/>
          <w:bCs/>
          <w:color w:val="000000"/>
          <w:sz w:val="21"/>
          <w:szCs w:val="21"/>
        </w:rPr>
        <w:t xml:space="preserve">projected summer peak demand forecast for all assessment areas </w:t>
      </w:r>
      <w:r w:rsidR="00976F93" w:rsidRPr="007A1478">
        <w:rPr>
          <w:rFonts w:ascii="Times New Roman" w:eastAsia="Calibri" w:hAnsi="Times New Roman" w:cs="Times New Roman"/>
          <w:bCs/>
          <w:color w:val="000000"/>
          <w:sz w:val="21"/>
          <w:szCs w:val="21"/>
        </w:rPr>
        <w:t>is up</w:t>
      </w:r>
      <w:r w:rsidRPr="007A1478">
        <w:rPr>
          <w:rFonts w:ascii="Times New Roman" w:eastAsia="Calibri" w:hAnsi="Times New Roman" w:cs="Times New Roman"/>
          <w:bCs/>
          <w:color w:val="000000"/>
          <w:sz w:val="21"/>
          <w:szCs w:val="21"/>
        </w:rPr>
        <w:t xml:space="preserve"> 15% </w:t>
      </w:r>
      <w:r w:rsidR="002F4D7E" w:rsidRPr="007A1478">
        <w:rPr>
          <w:rFonts w:ascii="Times New Roman" w:eastAsia="Calibri" w:hAnsi="Times New Roman" w:cs="Times New Roman"/>
          <w:bCs/>
          <w:color w:val="000000"/>
          <w:sz w:val="21"/>
          <w:szCs w:val="21"/>
        </w:rPr>
        <w:t>to 132 GW. That’s</w:t>
      </w:r>
      <w:r w:rsidRPr="007A1478">
        <w:rPr>
          <w:rFonts w:ascii="Times New Roman" w:eastAsia="Calibri" w:hAnsi="Times New Roman" w:cs="Times New Roman"/>
          <w:bCs/>
          <w:color w:val="000000"/>
          <w:sz w:val="21"/>
          <w:szCs w:val="21"/>
        </w:rPr>
        <w:t xml:space="preserve"> up from 80 GW in the </w:t>
      </w:r>
      <w:r w:rsidRPr="007A1478">
        <w:rPr>
          <w:rFonts w:ascii="Times New Roman" w:eastAsia="Calibri" w:hAnsi="Times New Roman" w:cs="Times New Roman"/>
          <w:bCs/>
          <w:i/>
          <w:iCs/>
          <w:color w:val="000000"/>
          <w:sz w:val="21"/>
          <w:szCs w:val="21"/>
        </w:rPr>
        <w:t>2023 LTRA</w:t>
      </w:r>
      <w:r w:rsidRPr="007A1478">
        <w:rPr>
          <w:rFonts w:ascii="Times New Roman" w:eastAsia="Calibri" w:hAnsi="Times New Roman" w:cs="Times New Roman"/>
          <w:bCs/>
          <w:color w:val="000000"/>
          <w:sz w:val="21"/>
          <w:szCs w:val="21"/>
        </w:rPr>
        <w:t xml:space="preserve">. </w:t>
      </w:r>
      <w:r w:rsidR="002F4D7E" w:rsidRPr="007A1478">
        <w:rPr>
          <w:rFonts w:ascii="Times New Roman" w:eastAsia="Calibri" w:hAnsi="Times New Roman" w:cs="Times New Roman"/>
          <w:bCs/>
          <w:color w:val="000000"/>
          <w:sz w:val="21"/>
          <w:szCs w:val="21"/>
        </w:rPr>
        <w:t>At the same time, t</w:t>
      </w:r>
      <w:r w:rsidRPr="007A1478">
        <w:rPr>
          <w:rFonts w:ascii="Times New Roman" w:eastAsia="Calibri" w:hAnsi="Times New Roman" w:cs="Times New Roman"/>
          <w:bCs/>
          <w:color w:val="000000"/>
          <w:sz w:val="21"/>
          <w:szCs w:val="21"/>
        </w:rPr>
        <w:t>he aggregated winter peak demand is expected to rise 18</w:t>
      </w:r>
      <w:proofErr w:type="gramStart"/>
      <w:r w:rsidRPr="007A1478">
        <w:rPr>
          <w:rFonts w:ascii="Times New Roman" w:eastAsia="Calibri" w:hAnsi="Times New Roman" w:cs="Times New Roman"/>
          <w:bCs/>
          <w:color w:val="000000"/>
          <w:sz w:val="21"/>
          <w:szCs w:val="21"/>
        </w:rPr>
        <w:t xml:space="preserve">% </w:t>
      </w:r>
      <w:r w:rsidR="00976F93" w:rsidRPr="007A1478">
        <w:rPr>
          <w:rFonts w:ascii="Times New Roman" w:eastAsia="Calibri" w:hAnsi="Times New Roman" w:cs="Times New Roman"/>
          <w:bCs/>
          <w:color w:val="000000"/>
          <w:sz w:val="21"/>
          <w:szCs w:val="21"/>
        </w:rPr>
        <w:t xml:space="preserve"> </w:t>
      </w:r>
      <w:r w:rsidR="002F4D7E" w:rsidRPr="007A1478">
        <w:rPr>
          <w:rFonts w:ascii="Times New Roman" w:eastAsia="Calibri" w:hAnsi="Times New Roman" w:cs="Times New Roman"/>
          <w:bCs/>
          <w:color w:val="000000"/>
          <w:sz w:val="21"/>
          <w:szCs w:val="21"/>
        </w:rPr>
        <w:t>or</w:t>
      </w:r>
      <w:proofErr w:type="gramEnd"/>
      <w:r w:rsidRPr="007A1478">
        <w:rPr>
          <w:rFonts w:ascii="Times New Roman" w:eastAsia="Calibri" w:hAnsi="Times New Roman" w:cs="Times New Roman"/>
          <w:bCs/>
          <w:color w:val="000000"/>
          <w:sz w:val="21"/>
          <w:szCs w:val="21"/>
        </w:rPr>
        <w:t xml:space="preserve"> 149 GW</w:t>
      </w:r>
      <w:r w:rsidR="00265629" w:rsidRPr="007A1478">
        <w:rPr>
          <w:rFonts w:ascii="Times New Roman" w:eastAsia="Calibri" w:hAnsi="Times New Roman" w:cs="Times New Roman"/>
          <w:bCs/>
          <w:color w:val="000000"/>
          <w:sz w:val="21"/>
          <w:szCs w:val="21"/>
        </w:rPr>
        <w:t xml:space="preserve"> -</w:t>
      </w:r>
      <w:r w:rsidRPr="007A1478">
        <w:rPr>
          <w:rFonts w:ascii="Times New Roman" w:eastAsia="Calibri" w:hAnsi="Times New Roman" w:cs="Times New Roman"/>
          <w:bCs/>
          <w:color w:val="000000"/>
          <w:sz w:val="21"/>
          <w:szCs w:val="21"/>
        </w:rPr>
        <w:t xml:space="preserve"> up from 92 GW in the </w:t>
      </w:r>
      <w:r w:rsidRPr="007A1478">
        <w:rPr>
          <w:rFonts w:ascii="Times New Roman" w:eastAsia="Calibri" w:hAnsi="Times New Roman" w:cs="Times New Roman"/>
          <w:bCs/>
          <w:i/>
          <w:iCs/>
          <w:color w:val="000000"/>
          <w:sz w:val="21"/>
          <w:szCs w:val="21"/>
        </w:rPr>
        <w:t>2023 LTRA</w:t>
      </w:r>
      <w:r w:rsidRPr="007A1478">
        <w:rPr>
          <w:rFonts w:ascii="Times New Roman" w:eastAsia="Calibri" w:hAnsi="Times New Roman" w:cs="Times New Roman"/>
          <w:bCs/>
          <w:color w:val="000000"/>
          <w:sz w:val="21"/>
          <w:szCs w:val="21"/>
        </w:rPr>
        <w:t>.</w:t>
      </w:r>
      <w:r w:rsidR="00E114E3" w:rsidRPr="007A1478">
        <w:rPr>
          <w:rFonts w:ascii="Times New Roman" w:eastAsia="Calibri" w:hAnsi="Times New Roman" w:cs="Times New Roman"/>
          <w:bCs/>
          <w:i/>
          <w:iCs/>
          <w:color w:val="000000"/>
          <w:sz w:val="21"/>
          <w:szCs w:val="21"/>
        </w:rPr>
        <w:t xml:space="preserve"> </w:t>
      </w:r>
      <w:r w:rsidR="002B01A7" w:rsidRPr="007A1478">
        <w:rPr>
          <w:rFonts w:ascii="Times New Roman" w:eastAsia="Calibri" w:hAnsi="Times New Roman" w:cs="Times New Roman"/>
          <w:bCs/>
          <w:i/>
          <w:iCs/>
          <w:color w:val="000000"/>
          <w:sz w:val="21"/>
          <w:szCs w:val="21"/>
        </w:rPr>
        <w:t xml:space="preserve">See, </w:t>
      </w:r>
      <w:r w:rsidRPr="007A1478">
        <w:rPr>
          <w:rFonts w:ascii="Times New Roman" w:eastAsia="Calibri" w:hAnsi="Times New Roman" w:cs="Times New Roman"/>
          <w:bCs/>
          <w:i/>
          <w:iCs/>
          <w:color w:val="000000"/>
          <w:sz w:val="21"/>
          <w:szCs w:val="21"/>
        </w:rPr>
        <w:t>2024</w:t>
      </w:r>
      <w:r w:rsidR="00E114E3" w:rsidRPr="007A1478">
        <w:rPr>
          <w:rFonts w:ascii="Times New Roman" w:eastAsia="Calibri" w:hAnsi="Times New Roman" w:cs="Times New Roman"/>
          <w:bCs/>
          <w:i/>
          <w:iCs/>
          <w:color w:val="000000"/>
          <w:sz w:val="21"/>
          <w:szCs w:val="21"/>
        </w:rPr>
        <w:t xml:space="preserve"> </w:t>
      </w:r>
      <w:r w:rsidRPr="007A1478">
        <w:rPr>
          <w:rFonts w:ascii="Times New Roman" w:eastAsia="Calibri" w:hAnsi="Times New Roman" w:cs="Times New Roman"/>
          <w:bCs/>
          <w:i/>
          <w:iCs/>
          <w:color w:val="000000"/>
          <w:sz w:val="21"/>
          <w:szCs w:val="21"/>
        </w:rPr>
        <w:t>L</w:t>
      </w:r>
      <w:r w:rsidR="002B01A7" w:rsidRPr="007A1478">
        <w:rPr>
          <w:rFonts w:ascii="Times New Roman" w:eastAsia="Calibri" w:hAnsi="Times New Roman" w:cs="Times New Roman"/>
          <w:bCs/>
          <w:i/>
          <w:iCs/>
          <w:color w:val="000000"/>
          <w:sz w:val="21"/>
          <w:szCs w:val="21"/>
        </w:rPr>
        <w:t xml:space="preserve">ong Term Reliability </w:t>
      </w:r>
      <w:r w:rsidR="00693728" w:rsidRPr="007A1478">
        <w:rPr>
          <w:rFonts w:ascii="Times New Roman" w:eastAsia="Calibri" w:hAnsi="Times New Roman" w:cs="Times New Roman"/>
          <w:bCs/>
          <w:i/>
          <w:iCs/>
          <w:color w:val="000000"/>
          <w:sz w:val="21"/>
          <w:szCs w:val="21"/>
        </w:rPr>
        <w:t>Assessment</w:t>
      </w:r>
      <w:r w:rsidRPr="007A1478">
        <w:rPr>
          <w:rFonts w:ascii="Times New Roman" w:eastAsia="Calibri" w:hAnsi="Times New Roman" w:cs="Times New Roman"/>
          <w:bCs/>
          <w:color w:val="000000"/>
          <w:sz w:val="21"/>
          <w:szCs w:val="21"/>
        </w:rPr>
        <w:t>, NERC, at 8 (Dec. 2024),</w:t>
      </w:r>
      <w:r w:rsidR="00D23A7A" w:rsidRPr="007A1478">
        <w:rPr>
          <w:rFonts w:ascii="Times New Roman" w:eastAsia="Calibri" w:hAnsi="Times New Roman" w:cs="Times New Roman"/>
          <w:bCs/>
          <w:color w:val="000000"/>
          <w:sz w:val="21"/>
          <w:szCs w:val="21"/>
        </w:rPr>
        <w:t xml:space="preserve">: </w:t>
      </w:r>
      <w:hyperlink r:id="rId7" w:history="1">
        <w:r w:rsidR="00D23A7A" w:rsidRPr="007A1478">
          <w:rPr>
            <w:rStyle w:val="Hyperlink"/>
            <w:rFonts w:ascii="Times New Roman" w:eastAsia="Calibri" w:hAnsi="Times New Roman" w:cs="Times New Roman"/>
            <w:bCs/>
            <w:sz w:val="21"/>
            <w:szCs w:val="21"/>
          </w:rPr>
          <w:t>https://www.nerc.com/pa/RAPA/ra/Reliability%20Assessments%20DL/NERC_Long%20Term%20Reliability%20Assessment_2024.pdf</w:t>
        </w:r>
      </w:hyperlink>
      <w:r w:rsidR="00C91FBB" w:rsidRPr="007A1478">
        <w:rPr>
          <w:rFonts w:ascii="Times New Roman" w:eastAsia="Calibri" w:hAnsi="Times New Roman" w:cs="Times New Roman"/>
          <w:bCs/>
          <w:color w:val="000000"/>
          <w:sz w:val="21"/>
          <w:szCs w:val="21"/>
        </w:rPr>
        <w:t xml:space="preserve">. </w:t>
      </w:r>
    </w:p>
  </w:footnote>
  <w:footnote w:id="17">
    <w:p w14:paraId="480B495F" w14:textId="77777777" w:rsidR="00D23A7A" w:rsidRPr="007A1478" w:rsidRDefault="00D23A7A" w:rsidP="007A1478">
      <w:pPr>
        <w:autoSpaceDE w:val="0"/>
        <w:autoSpaceDN w:val="0"/>
        <w:adjustRightInd w:val="0"/>
        <w:spacing w:after="0" w:line="240" w:lineRule="auto"/>
        <w:jc w:val="both"/>
        <w:rPr>
          <w:rFonts w:ascii="Times New Roman" w:hAnsi="Times New Roman" w:cs="Times New Roman"/>
          <w:sz w:val="21"/>
          <w:szCs w:val="21"/>
        </w:rPr>
      </w:pPr>
    </w:p>
    <w:p w14:paraId="423E76F2" w14:textId="3300FE42" w:rsidR="00202EA1" w:rsidRPr="007A1478" w:rsidRDefault="00202EA1" w:rsidP="007A1478">
      <w:pPr>
        <w:autoSpaceDE w:val="0"/>
        <w:autoSpaceDN w:val="0"/>
        <w:adjustRightInd w:val="0"/>
        <w:spacing w:after="0" w:line="240" w:lineRule="auto"/>
        <w:jc w:val="both"/>
        <w:rPr>
          <w:rFonts w:ascii="Times New Roman" w:eastAsia="Calibri" w:hAnsi="Times New Roman" w:cs="Times New Roman"/>
          <w:bCs/>
          <w:color w:val="000000"/>
          <w:sz w:val="21"/>
          <w:szCs w:val="21"/>
        </w:rPr>
      </w:pPr>
      <w:r w:rsidRPr="007A1478">
        <w:rPr>
          <w:rStyle w:val="FootnoteReference"/>
          <w:rFonts w:ascii="Times New Roman" w:hAnsi="Times New Roman" w:cs="Times New Roman"/>
          <w:sz w:val="21"/>
          <w:szCs w:val="21"/>
        </w:rPr>
        <w:footnoteRef/>
      </w:r>
      <w:r w:rsidRPr="007A1478">
        <w:rPr>
          <w:rFonts w:ascii="Times New Roman" w:hAnsi="Times New Roman" w:cs="Times New Roman"/>
          <w:sz w:val="21"/>
          <w:szCs w:val="21"/>
        </w:rPr>
        <w:t xml:space="preserve"> </w:t>
      </w:r>
      <w:r w:rsidR="007E7CA6" w:rsidRPr="007A1478">
        <w:rPr>
          <w:rFonts w:ascii="Times New Roman" w:hAnsi="Times New Roman" w:cs="Times New Roman"/>
          <w:sz w:val="21"/>
          <w:szCs w:val="21"/>
        </w:rPr>
        <w:tab/>
      </w:r>
      <w:r w:rsidR="007E7CA6" w:rsidRPr="007A1478">
        <w:rPr>
          <w:rFonts w:ascii="Times New Roman" w:hAnsi="Times New Roman" w:cs="Times New Roman"/>
          <w:i/>
          <w:iCs/>
          <w:sz w:val="21"/>
          <w:szCs w:val="21"/>
        </w:rPr>
        <w:t>See.</w:t>
      </w:r>
      <w:r w:rsidR="007E7CA6" w:rsidRPr="007A1478">
        <w:rPr>
          <w:rFonts w:ascii="Times New Roman" w:hAnsi="Times New Roman" w:cs="Times New Roman"/>
          <w:sz w:val="21"/>
          <w:szCs w:val="21"/>
        </w:rPr>
        <w:t xml:space="preserve"> </w:t>
      </w:r>
      <w:r w:rsidRPr="007A1478">
        <w:rPr>
          <w:rFonts w:ascii="Times New Roman" w:eastAsia="Calibri" w:hAnsi="Times New Roman" w:cs="Times New Roman"/>
          <w:bCs/>
          <w:color w:val="000000"/>
          <w:sz w:val="21"/>
          <w:szCs w:val="21"/>
        </w:rPr>
        <w:t>2</w:t>
      </w:r>
      <w:r w:rsidRPr="007A1478">
        <w:rPr>
          <w:rFonts w:ascii="Times New Roman" w:eastAsia="Calibri" w:hAnsi="Times New Roman" w:cs="Times New Roman"/>
          <w:bCs/>
          <w:i/>
          <w:iCs/>
          <w:color w:val="000000"/>
          <w:sz w:val="21"/>
          <w:szCs w:val="21"/>
        </w:rPr>
        <w:t>024 Long-Term Reliability Assessment,</w:t>
      </w:r>
      <w:r w:rsidRPr="007A1478">
        <w:rPr>
          <w:rFonts w:ascii="Times New Roman" w:eastAsia="Calibri" w:hAnsi="Times New Roman" w:cs="Times New Roman"/>
          <w:bCs/>
          <w:color w:val="000000"/>
          <w:sz w:val="21"/>
          <w:szCs w:val="21"/>
        </w:rPr>
        <w:t xml:space="preserve"> NERC, at 8 (Dec. 2024),</w:t>
      </w:r>
      <w:r w:rsidR="007E7CA6" w:rsidRPr="007A1478">
        <w:rPr>
          <w:rFonts w:ascii="Times New Roman" w:eastAsia="Calibri" w:hAnsi="Times New Roman" w:cs="Times New Roman"/>
          <w:bCs/>
          <w:color w:val="000000"/>
          <w:sz w:val="21"/>
          <w:szCs w:val="21"/>
        </w:rPr>
        <w:t xml:space="preserve"> available online at:</w:t>
      </w:r>
      <w:r w:rsidRPr="007A1478">
        <w:rPr>
          <w:rFonts w:ascii="Times New Roman" w:eastAsia="Calibri" w:hAnsi="Times New Roman" w:cs="Times New Roman"/>
          <w:bCs/>
          <w:color w:val="000000"/>
          <w:sz w:val="21"/>
          <w:szCs w:val="21"/>
        </w:rPr>
        <w:t xml:space="preserve"> </w:t>
      </w:r>
      <w:hyperlink r:id="rId8" w:history="1">
        <w:r w:rsidRPr="007A1478">
          <w:rPr>
            <w:rStyle w:val="Hyperlink"/>
            <w:rFonts w:ascii="Times New Roman" w:eastAsia="Calibri" w:hAnsi="Times New Roman" w:cs="Times New Roman"/>
            <w:bCs/>
            <w:sz w:val="21"/>
            <w:szCs w:val="21"/>
          </w:rPr>
          <w:t>https://www.nerc.com/pa/RAPA/ra/Reliability%20Assessments%20DL/NERC_Long%20Term%20Reliability%20Assessment_2024.pdf</w:t>
        </w:r>
      </w:hyperlink>
    </w:p>
    <w:p w14:paraId="28D7E956" w14:textId="7165F2FC" w:rsidR="00202EA1" w:rsidRPr="007A1478" w:rsidRDefault="00202EA1" w:rsidP="007A1478">
      <w:pPr>
        <w:pStyle w:val="FootnoteText"/>
        <w:jc w:val="both"/>
        <w:rPr>
          <w:rFonts w:ascii="Times New Roman" w:hAnsi="Times New Roman" w:cs="Times New Roman"/>
          <w:sz w:val="21"/>
          <w:szCs w:val="21"/>
        </w:rPr>
      </w:pPr>
    </w:p>
  </w:footnote>
  <w:footnote w:id="18">
    <w:p w14:paraId="3E2AA777" w14:textId="126BBC51" w:rsidR="00786D27" w:rsidRPr="007A1478" w:rsidRDefault="00786D27" w:rsidP="007A1478">
      <w:pPr>
        <w:pStyle w:val="FootnoteText"/>
        <w:jc w:val="both"/>
        <w:rPr>
          <w:rFonts w:ascii="Times New Roman" w:eastAsia="Calibri" w:hAnsi="Times New Roman" w:cs="Times New Roman"/>
          <w:bCs/>
          <w:color w:val="000000"/>
          <w:sz w:val="21"/>
          <w:szCs w:val="21"/>
        </w:rPr>
      </w:pPr>
      <w:r w:rsidRPr="007A1478">
        <w:rPr>
          <w:rStyle w:val="FootnoteReference"/>
          <w:rFonts w:ascii="Times New Roman" w:hAnsi="Times New Roman" w:cs="Times New Roman"/>
          <w:sz w:val="21"/>
          <w:szCs w:val="21"/>
        </w:rPr>
        <w:footnoteRef/>
      </w:r>
      <w:r w:rsidRPr="007A1478">
        <w:rPr>
          <w:rFonts w:ascii="Times New Roman" w:hAnsi="Times New Roman" w:cs="Times New Roman"/>
          <w:sz w:val="21"/>
          <w:szCs w:val="21"/>
        </w:rPr>
        <w:t xml:space="preserve"> </w:t>
      </w:r>
      <w:r w:rsidR="00707380" w:rsidRPr="007A1478">
        <w:rPr>
          <w:rFonts w:ascii="Times New Roman" w:hAnsi="Times New Roman" w:cs="Times New Roman"/>
          <w:sz w:val="21"/>
          <w:szCs w:val="21"/>
        </w:rPr>
        <w:tab/>
      </w:r>
      <w:r w:rsidR="00707380" w:rsidRPr="007A1478">
        <w:rPr>
          <w:rFonts w:ascii="Times New Roman" w:hAnsi="Times New Roman" w:cs="Times New Roman"/>
          <w:i/>
          <w:iCs/>
          <w:sz w:val="21"/>
          <w:szCs w:val="21"/>
        </w:rPr>
        <w:t>See</w:t>
      </w:r>
      <w:r w:rsidR="007E7CA6" w:rsidRPr="007A1478">
        <w:rPr>
          <w:rFonts w:ascii="Times New Roman" w:hAnsi="Times New Roman" w:cs="Times New Roman"/>
          <w:i/>
          <w:iCs/>
          <w:sz w:val="21"/>
          <w:szCs w:val="21"/>
        </w:rPr>
        <w:t xml:space="preserve">. </w:t>
      </w:r>
      <w:r w:rsidRPr="007A1478">
        <w:rPr>
          <w:rFonts w:ascii="Times New Roman" w:eastAsia="Calibri" w:hAnsi="Times New Roman" w:cs="Times New Roman"/>
          <w:bCs/>
          <w:i/>
          <w:iCs/>
          <w:color w:val="000000"/>
          <w:sz w:val="21"/>
          <w:szCs w:val="21"/>
        </w:rPr>
        <w:t>2023 Long-Term Reliability Assessment</w:t>
      </w:r>
      <w:r w:rsidRPr="007A1478">
        <w:rPr>
          <w:rFonts w:ascii="Times New Roman" w:eastAsia="Calibri" w:hAnsi="Times New Roman" w:cs="Times New Roman"/>
          <w:bCs/>
          <w:color w:val="000000"/>
          <w:sz w:val="21"/>
          <w:szCs w:val="21"/>
        </w:rPr>
        <w:t xml:space="preserve">, NERC, at 69, 120, 125 (Dec. 2023), </w:t>
      </w:r>
      <w:r w:rsidR="00903DEE" w:rsidRPr="007A1478">
        <w:rPr>
          <w:rFonts w:ascii="Times New Roman" w:eastAsia="Calibri" w:hAnsi="Times New Roman" w:cs="Times New Roman"/>
          <w:bCs/>
          <w:color w:val="000000"/>
          <w:sz w:val="21"/>
          <w:szCs w:val="21"/>
        </w:rPr>
        <w:t xml:space="preserve">available online at: </w:t>
      </w:r>
      <w:hyperlink r:id="rId9" w:history="1">
        <w:r w:rsidR="00903DEE" w:rsidRPr="007A1478">
          <w:rPr>
            <w:rStyle w:val="Hyperlink"/>
            <w:rFonts w:ascii="Times New Roman" w:eastAsia="Calibri" w:hAnsi="Times New Roman" w:cs="Times New Roman"/>
            <w:bCs/>
            <w:sz w:val="21"/>
            <w:szCs w:val="21"/>
          </w:rPr>
          <w:t>https://www.nerc.com/pa/RAPA/ra/Reliability%20Assessments%20DL/NERC_LTRA_2023.pdf</w:t>
        </w:r>
      </w:hyperlink>
      <w:r w:rsidR="00D709C9" w:rsidRPr="007A1478">
        <w:rPr>
          <w:rFonts w:ascii="Times New Roman" w:eastAsia="Calibri" w:hAnsi="Times New Roman" w:cs="Times New Roman"/>
          <w:bCs/>
          <w:color w:val="000000"/>
          <w:sz w:val="21"/>
          <w:szCs w:val="21"/>
        </w:rPr>
        <w:t xml:space="preserve"> </w:t>
      </w:r>
    </w:p>
    <w:p w14:paraId="3BFDA8D1" w14:textId="77777777" w:rsidR="0086298E" w:rsidRPr="007A1478" w:rsidRDefault="0086298E" w:rsidP="007A1478">
      <w:pPr>
        <w:pStyle w:val="FootnoteText"/>
        <w:jc w:val="both"/>
        <w:rPr>
          <w:rFonts w:ascii="Times New Roman" w:hAnsi="Times New Roman" w:cs="Times New Roman"/>
          <w:sz w:val="21"/>
          <w:szCs w:val="21"/>
        </w:rPr>
      </w:pPr>
    </w:p>
  </w:footnote>
  <w:footnote w:id="19">
    <w:p w14:paraId="0B274582" w14:textId="4CE262CD" w:rsidR="00D8633E" w:rsidRPr="007A1478" w:rsidRDefault="00D8633E" w:rsidP="007A1478">
      <w:pPr>
        <w:pStyle w:val="FootnoteText"/>
        <w:jc w:val="both"/>
        <w:rPr>
          <w:rFonts w:ascii="Times New Roman" w:hAnsi="Times New Roman" w:cs="Times New Roman"/>
          <w:sz w:val="21"/>
          <w:szCs w:val="21"/>
        </w:rPr>
      </w:pPr>
      <w:r w:rsidRPr="007A1478">
        <w:rPr>
          <w:rStyle w:val="FootnoteReference"/>
          <w:rFonts w:ascii="Times New Roman" w:hAnsi="Times New Roman" w:cs="Times New Roman"/>
          <w:sz w:val="21"/>
          <w:szCs w:val="21"/>
        </w:rPr>
        <w:footnoteRef/>
      </w:r>
      <w:r w:rsidRPr="007A1478">
        <w:rPr>
          <w:rFonts w:ascii="Times New Roman" w:hAnsi="Times New Roman" w:cs="Times New Roman"/>
          <w:sz w:val="21"/>
          <w:szCs w:val="21"/>
        </w:rPr>
        <w:t xml:space="preserve"> </w:t>
      </w:r>
      <w:r w:rsidRPr="007A1478">
        <w:rPr>
          <w:rFonts w:ascii="Times New Roman" w:eastAsia="Calibri" w:hAnsi="Times New Roman" w:cs="Times New Roman"/>
          <w:color w:val="000000" w:themeColor="text1"/>
          <w:sz w:val="21"/>
          <w:szCs w:val="21"/>
        </w:rPr>
        <w:t xml:space="preserve"> </w:t>
      </w:r>
      <w:r w:rsidRPr="007A1478">
        <w:rPr>
          <w:rFonts w:ascii="Times New Roman" w:eastAsia="Calibri" w:hAnsi="Times New Roman" w:cs="Times New Roman"/>
          <w:color w:val="000000" w:themeColor="text1"/>
          <w:sz w:val="21"/>
          <w:szCs w:val="21"/>
        </w:rPr>
        <w:tab/>
      </w:r>
      <w:r w:rsidR="00BC5068" w:rsidRPr="007A1478">
        <w:rPr>
          <w:rFonts w:ascii="Times New Roman" w:eastAsia="Calibri" w:hAnsi="Times New Roman" w:cs="Times New Roman"/>
          <w:i/>
          <w:iCs/>
          <w:color w:val="000000" w:themeColor="text1"/>
          <w:sz w:val="21"/>
          <w:szCs w:val="21"/>
        </w:rPr>
        <w:t>Public Utility Regulatory Policies Act</w:t>
      </w:r>
      <w:r w:rsidR="00BC5068" w:rsidRPr="007A1478">
        <w:rPr>
          <w:rFonts w:ascii="Times New Roman" w:eastAsia="Calibri" w:hAnsi="Times New Roman" w:cs="Times New Roman"/>
          <w:color w:val="000000" w:themeColor="text1"/>
          <w:sz w:val="21"/>
          <w:szCs w:val="21"/>
        </w:rPr>
        <w:t>, Pub L. No. 95-617, § 111(d)(20), 92 Stat. 3117, 3121 (2021).</w:t>
      </w:r>
    </w:p>
  </w:footnote>
  <w:footnote w:id="20">
    <w:p w14:paraId="70D7526E" w14:textId="77777777" w:rsidR="00DA486C" w:rsidRPr="007A1478" w:rsidRDefault="00DA486C" w:rsidP="007A1478">
      <w:pPr>
        <w:pStyle w:val="FootnoteText"/>
        <w:jc w:val="both"/>
        <w:rPr>
          <w:rFonts w:ascii="Times New Roman" w:hAnsi="Times New Roman" w:cs="Times New Roman"/>
          <w:sz w:val="21"/>
          <w:szCs w:val="21"/>
        </w:rPr>
      </w:pPr>
    </w:p>
    <w:p w14:paraId="0F822772" w14:textId="77777777" w:rsidR="00DA486C" w:rsidRPr="007A1478" w:rsidRDefault="00DA486C" w:rsidP="007A1478">
      <w:pPr>
        <w:pStyle w:val="NormalWeb"/>
        <w:spacing w:before="0" w:after="0"/>
        <w:jc w:val="both"/>
        <w:rPr>
          <w:rFonts w:ascii="Times New Roman" w:hAnsi="Times New Roman" w:cs="Times New Roman"/>
          <w:sz w:val="21"/>
          <w:szCs w:val="21"/>
        </w:rPr>
      </w:pPr>
      <w:r w:rsidRPr="007A1478">
        <w:rPr>
          <w:rStyle w:val="FootnoteReference"/>
          <w:rFonts w:ascii="Times New Roman" w:hAnsi="Times New Roman" w:cs="Times New Roman"/>
          <w:sz w:val="21"/>
          <w:szCs w:val="21"/>
        </w:rPr>
        <w:footnoteRef/>
      </w:r>
      <w:r w:rsidRPr="007A1478">
        <w:rPr>
          <w:rFonts w:ascii="Times New Roman" w:hAnsi="Times New Roman" w:cs="Times New Roman"/>
          <w:sz w:val="21"/>
          <w:szCs w:val="21"/>
        </w:rPr>
        <w:t xml:space="preserve"> </w:t>
      </w:r>
      <w:r w:rsidRPr="007A1478">
        <w:rPr>
          <w:rFonts w:ascii="Times New Roman" w:hAnsi="Times New Roman" w:cs="Times New Roman"/>
          <w:sz w:val="21"/>
          <w:szCs w:val="21"/>
        </w:rPr>
        <w:tab/>
      </w:r>
      <w:r w:rsidRPr="007A1478">
        <w:rPr>
          <w:rFonts w:ascii="Times New Roman" w:eastAsia="Calibri" w:hAnsi="Times New Roman" w:cs="Times New Roman"/>
          <w:bCs/>
          <w:i/>
          <w:iCs/>
          <w:color w:val="000000"/>
          <w:sz w:val="21"/>
          <w:szCs w:val="21"/>
        </w:rPr>
        <w:t>See</w:t>
      </w:r>
      <w:r w:rsidRPr="007A1478">
        <w:rPr>
          <w:rFonts w:ascii="Times New Roman" w:eastAsia="Calibri" w:hAnsi="Times New Roman" w:cs="Times New Roman"/>
          <w:bCs/>
          <w:color w:val="000000"/>
          <w:sz w:val="21"/>
          <w:szCs w:val="21"/>
        </w:rPr>
        <w:t xml:space="preserve"> </w:t>
      </w:r>
      <w:r w:rsidRPr="007A1478">
        <w:rPr>
          <w:rFonts w:ascii="Times New Roman" w:eastAsia="Calibri" w:hAnsi="Times New Roman" w:cs="Times New Roman"/>
          <w:bCs/>
          <w:i/>
          <w:iCs/>
          <w:color w:val="000000"/>
          <w:sz w:val="21"/>
          <w:szCs w:val="21"/>
        </w:rPr>
        <w:t>Demand-side management programs save energy and reduce peak demand</w:t>
      </w:r>
      <w:r w:rsidRPr="007A1478">
        <w:rPr>
          <w:rFonts w:ascii="Times New Roman" w:eastAsia="Calibri" w:hAnsi="Times New Roman" w:cs="Times New Roman"/>
          <w:bCs/>
          <w:color w:val="000000"/>
          <w:sz w:val="21"/>
          <w:szCs w:val="21"/>
        </w:rPr>
        <w:t xml:space="preserve">, U.S. Energy Information Administration (Mar. 29, 2019), at: </w:t>
      </w:r>
      <w:hyperlink r:id="rId10" w:history="1">
        <w:r w:rsidRPr="007A1478">
          <w:rPr>
            <w:rStyle w:val="Hyperlink"/>
            <w:rFonts w:ascii="Times New Roman" w:eastAsia="Calibri" w:hAnsi="Times New Roman" w:cs="Times New Roman"/>
            <w:bCs/>
            <w:sz w:val="21"/>
            <w:szCs w:val="21"/>
          </w:rPr>
          <w:t>https://www.eia.gov/todayinenergy/detail.php?id=38872</w:t>
        </w:r>
      </w:hyperlink>
      <w:r w:rsidRPr="007A1478">
        <w:rPr>
          <w:rFonts w:ascii="Times New Roman" w:eastAsia="Calibri" w:hAnsi="Times New Roman" w:cs="Times New Roman"/>
          <w:bCs/>
          <w:color w:val="000000"/>
          <w:sz w:val="21"/>
          <w:szCs w:val="21"/>
        </w:rPr>
        <w:t xml:space="preserve">; Annual Electric Power Industry Report, Form EIA-861 detailed data files, U.S. Energy Information Administration, at: </w:t>
      </w:r>
      <w:hyperlink r:id="rId11" w:history="1">
        <w:r w:rsidRPr="007A1478">
          <w:rPr>
            <w:rStyle w:val="Hyperlink"/>
            <w:rFonts w:ascii="Times New Roman" w:eastAsia="Calibri" w:hAnsi="Times New Roman" w:cs="Times New Roman"/>
            <w:bCs/>
            <w:sz w:val="21"/>
            <w:szCs w:val="21"/>
          </w:rPr>
          <w:t>https://www.eia.gov/electricity/data/eia861/</w:t>
        </w:r>
      </w:hyperlink>
      <w:r w:rsidRPr="007A1478">
        <w:rPr>
          <w:rFonts w:ascii="Times New Roman" w:eastAsia="Calibri" w:hAnsi="Times New Roman" w:cs="Times New Roman"/>
          <w:bCs/>
          <w:color w:val="000000"/>
          <w:sz w:val="21"/>
          <w:szCs w:val="21"/>
        </w:rPr>
        <w:t xml:space="preserve">  (last updated Oct. 10, 2024). </w:t>
      </w:r>
      <w:r w:rsidRPr="007A1478">
        <w:rPr>
          <w:rFonts w:ascii="Times New Roman" w:eastAsia="Calibri" w:hAnsi="Times New Roman" w:cs="Times New Roman"/>
          <w:bCs/>
          <w:i/>
          <w:iCs/>
          <w:color w:val="000000"/>
          <w:sz w:val="21"/>
          <w:szCs w:val="21"/>
        </w:rPr>
        <w:t>See also, e.g.</w:t>
      </w:r>
      <w:r w:rsidRPr="007A1478">
        <w:rPr>
          <w:rFonts w:ascii="Times New Roman" w:eastAsia="Calibri" w:hAnsi="Times New Roman" w:cs="Times New Roman"/>
          <w:bCs/>
          <w:color w:val="000000"/>
          <w:sz w:val="21"/>
          <w:szCs w:val="21"/>
        </w:rPr>
        <w:t xml:space="preserve">, “ERCOT Eyes </w:t>
      </w:r>
      <w:r w:rsidRPr="007A1478">
        <w:rPr>
          <w:rFonts w:ascii="Times New Roman" w:eastAsia="Calibri" w:hAnsi="Times New Roman" w:cs="Times New Roman"/>
          <w:bCs/>
          <w:i/>
          <w:iCs/>
          <w:color w:val="000000"/>
          <w:sz w:val="21"/>
          <w:szCs w:val="21"/>
        </w:rPr>
        <w:t xml:space="preserve">More </w:t>
      </w:r>
      <w:r w:rsidRPr="007A1478">
        <w:rPr>
          <w:rFonts w:ascii="Times New Roman" w:eastAsia="Calibri" w:hAnsi="Times New Roman" w:cs="Times New Roman"/>
          <w:bCs/>
          <w:color w:val="000000"/>
          <w:sz w:val="21"/>
          <w:szCs w:val="21"/>
        </w:rPr>
        <w:t xml:space="preserve">Demand Response” at </w:t>
      </w:r>
      <w:hyperlink r:id="rId12" w:history="1">
        <w:r w:rsidRPr="007A1478">
          <w:rPr>
            <w:rStyle w:val="Hyperlink"/>
            <w:rFonts w:ascii="Times New Roman" w:eastAsia="Times New Roman" w:hAnsi="Times New Roman" w:cs="Times New Roman"/>
            <w:sz w:val="21"/>
            <w:szCs w:val="21"/>
          </w:rPr>
          <w:t>https://www.gridbrief.com/p/christie-ferc-transmission-framework-whack-ercot-eyes-demand-response</w:t>
        </w:r>
      </w:hyperlink>
      <w:r w:rsidRPr="007A1478">
        <w:rPr>
          <w:rFonts w:ascii="Times New Roman" w:eastAsia="Times New Roman" w:hAnsi="Times New Roman" w:cs="Times New Roman"/>
          <w:color w:val="000436"/>
          <w:sz w:val="21"/>
          <w:szCs w:val="21"/>
        </w:rPr>
        <w:t xml:space="preserve"> (last accessed April 9, 2025) (“Officials from the Electric Reliability Council of Texas assured the public that it is ready to handle whatever winter throws its way  [and also] indicated that demand response will likely become a larger part of ERCOT’s toolkit.  “I think that there’s an opportunity for us to work with the market and with the Public Utility Commission to work on defining those kinds of products that could be utilized throughout the year, not just during an extreme winter season,” Vegas said.)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29CA"/>
    <w:rsid w:val="00003391"/>
    <w:rsid w:val="000131FE"/>
    <w:rsid w:val="00060A2F"/>
    <w:rsid w:val="000773C2"/>
    <w:rsid w:val="0008620E"/>
    <w:rsid w:val="000B0090"/>
    <w:rsid w:val="000B4B51"/>
    <w:rsid w:val="00107D7D"/>
    <w:rsid w:val="00114F4F"/>
    <w:rsid w:val="0011684A"/>
    <w:rsid w:val="00122925"/>
    <w:rsid w:val="00124193"/>
    <w:rsid w:val="00134E2E"/>
    <w:rsid w:val="00134FE6"/>
    <w:rsid w:val="00137EFF"/>
    <w:rsid w:val="0014287C"/>
    <w:rsid w:val="001467E4"/>
    <w:rsid w:val="001513F8"/>
    <w:rsid w:val="00160738"/>
    <w:rsid w:val="00175C57"/>
    <w:rsid w:val="00182332"/>
    <w:rsid w:val="001844BD"/>
    <w:rsid w:val="00196668"/>
    <w:rsid w:val="001A3D7C"/>
    <w:rsid w:val="001D2F71"/>
    <w:rsid w:val="001E280C"/>
    <w:rsid w:val="001E73F7"/>
    <w:rsid w:val="001F60A9"/>
    <w:rsid w:val="002016C3"/>
    <w:rsid w:val="00202304"/>
    <w:rsid w:val="002024B7"/>
    <w:rsid w:val="00202EA1"/>
    <w:rsid w:val="00224FC2"/>
    <w:rsid w:val="0024147C"/>
    <w:rsid w:val="00243A58"/>
    <w:rsid w:val="00255891"/>
    <w:rsid w:val="00256EFD"/>
    <w:rsid w:val="00265629"/>
    <w:rsid w:val="002968DF"/>
    <w:rsid w:val="002B01A7"/>
    <w:rsid w:val="002C2467"/>
    <w:rsid w:val="002C3185"/>
    <w:rsid w:val="002E2ABF"/>
    <w:rsid w:val="002E50E2"/>
    <w:rsid w:val="002E7BAB"/>
    <w:rsid w:val="002F00F2"/>
    <w:rsid w:val="002F4D7E"/>
    <w:rsid w:val="0034771B"/>
    <w:rsid w:val="00351C44"/>
    <w:rsid w:val="00357FEE"/>
    <w:rsid w:val="0036792A"/>
    <w:rsid w:val="00370239"/>
    <w:rsid w:val="00385E9D"/>
    <w:rsid w:val="00391669"/>
    <w:rsid w:val="003917D4"/>
    <w:rsid w:val="00396CBB"/>
    <w:rsid w:val="003A19F0"/>
    <w:rsid w:val="003F4E8D"/>
    <w:rsid w:val="00405834"/>
    <w:rsid w:val="00406CBD"/>
    <w:rsid w:val="00407A9D"/>
    <w:rsid w:val="004159A5"/>
    <w:rsid w:val="004265E4"/>
    <w:rsid w:val="00434549"/>
    <w:rsid w:val="0043545E"/>
    <w:rsid w:val="0043741B"/>
    <w:rsid w:val="0046427C"/>
    <w:rsid w:val="0048132A"/>
    <w:rsid w:val="00492E13"/>
    <w:rsid w:val="0049780A"/>
    <w:rsid w:val="00497FDA"/>
    <w:rsid w:val="004A4C5E"/>
    <w:rsid w:val="004B1401"/>
    <w:rsid w:val="004C449B"/>
    <w:rsid w:val="004E2B3F"/>
    <w:rsid w:val="004E784E"/>
    <w:rsid w:val="004F5B5E"/>
    <w:rsid w:val="004F75D5"/>
    <w:rsid w:val="005329B5"/>
    <w:rsid w:val="00533350"/>
    <w:rsid w:val="00535474"/>
    <w:rsid w:val="005510AF"/>
    <w:rsid w:val="005557C0"/>
    <w:rsid w:val="0057705D"/>
    <w:rsid w:val="00580FF4"/>
    <w:rsid w:val="00585A35"/>
    <w:rsid w:val="005A7623"/>
    <w:rsid w:val="005B3F3E"/>
    <w:rsid w:val="005E08E4"/>
    <w:rsid w:val="005E2677"/>
    <w:rsid w:val="005E4B0D"/>
    <w:rsid w:val="005F1A9A"/>
    <w:rsid w:val="00600CE4"/>
    <w:rsid w:val="00604DB3"/>
    <w:rsid w:val="00610A3A"/>
    <w:rsid w:val="006244FA"/>
    <w:rsid w:val="00627222"/>
    <w:rsid w:val="006423A5"/>
    <w:rsid w:val="0064611F"/>
    <w:rsid w:val="00663045"/>
    <w:rsid w:val="00667B32"/>
    <w:rsid w:val="0068199C"/>
    <w:rsid w:val="00693728"/>
    <w:rsid w:val="00697EB3"/>
    <w:rsid w:val="006A093E"/>
    <w:rsid w:val="006B3957"/>
    <w:rsid w:val="006B4D53"/>
    <w:rsid w:val="006D0554"/>
    <w:rsid w:val="006D17B4"/>
    <w:rsid w:val="006E1B50"/>
    <w:rsid w:val="006F2B35"/>
    <w:rsid w:val="007068AF"/>
    <w:rsid w:val="00707380"/>
    <w:rsid w:val="00710F70"/>
    <w:rsid w:val="00712B87"/>
    <w:rsid w:val="007240DF"/>
    <w:rsid w:val="00732F9B"/>
    <w:rsid w:val="00753A50"/>
    <w:rsid w:val="00761062"/>
    <w:rsid w:val="007721FC"/>
    <w:rsid w:val="00781B63"/>
    <w:rsid w:val="00786D27"/>
    <w:rsid w:val="007A03F3"/>
    <w:rsid w:val="007A1478"/>
    <w:rsid w:val="007A247C"/>
    <w:rsid w:val="007B0B13"/>
    <w:rsid w:val="007B12BB"/>
    <w:rsid w:val="007B7946"/>
    <w:rsid w:val="007C3CCA"/>
    <w:rsid w:val="007C75B4"/>
    <w:rsid w:val="007D1F4E"/>
    <w:rsid w:val="007E0012"/>
    <w:rsid w:val="007E7CA6"/>
    <w:rsid w:val="007F7C42"/>
    <w:rsid w:val="0080681C"/>
    <w:rsid w:val="008176EB"/>
    <w:rsid w:val="00831CEB"/>
    <w:rsid w:val="008341FC"/>
    <w:rsid w:val="00834D6D"/>
    <w:rsid w:val="0084108B"/>
    <w:rsid w:val="0086298E"/>
    <w:rsid w:val="008700A6"/>
    <w:rsid w:val="008A6DA6"/>
    <w:rsid w:val="008C75E4"/>
    <w:rsid w:val="008D5BAD"/>
    <w:rsid w:val="009014D7"/>
    <w:rsid w:val="00903DEE"/>
    <w:rsid w:val="00910960"/>
    <w:rsid w:val="00924BA3"/>
    <w:rsid w:val="00932968"/>
    <w:rsid w:val="00932BBD"/>
    <w:rsid w:val="00976F93"/>
    <w:rsid w:val="00980B01"/>
    <w:rsid w:val="00981BCB"/>
    <w:rsid w:val="00993A48"/>
    <w:rsid w:val="009A1AF9"/>
    <w:rsid w:val="009A589B"/>
    <w:rsid w:val="009A683F"/>
    <w:rsid w:val="009B7937"/>
    <w:rsid w:val="009C360A"/>
    <w:rsid w:val="009C4EEF"/>
    <w:rsid w:val="009D02E0"/>
    <w:rsid w:val="009E11BF"/>
    <w:rsid w:val="009E1406"/>
    <w:rsid w:val="009E3227"/>
    <w:rsid w:val="009F725A"/>
    <w:rsid w:val="00A13195"/>
    <w:rsid w:val="00A176E7"/>
    <w:rsid w:val="00A301CC"/>
    <w:rsid w:val="00A40652"/>
    <w:rsid w:val="00A57305"/>
    <w:rsid w:val="00A73C8B"/>
    <w:rsid w:val="00A750D9"/>
    <w:rsid w:val="00A94B9F"/>
    <w:rsid w:val="00A96B17"/>
    <w:rsid w:val="00A97D39"/>
    <w:rsid w:val="00AA166A"/>
    <w:rsid w:val="00AA492D"/>
    <w:rsid w:val="00AC14BB"/>
    <w:rsid w:val="00AE3C36"/>
    <w:rsid w:val="00AF3A1E"/>
    <w:rsid w:val="00B07F6E"/>
    <w:rsid w:val="00B243D4"/>
    <w:rsid w:val="00B32BCB"/>
    <w:rsid w:val="00B434D1"/>
    <w:rsid w:val="00B4655B"/>
    <w:rsid w:val="00B62408"/>
    <w:rsid w:val="00B86A0F"/>
    <w:rsid w:val="00B94E4A"/>
    <w:rsid w:val="00BA1655"/>
    <w:rsid w:val="00BA3A48"/>
    <w:rsid w:val="00BA48A4"/>
    <w:rsid w:val="00BC0B89"/>
    <w:rsid w:val="00BC5068"/>
    <w:rsid w:val="00BE0481"/>
    <w:rsid w:val="00BE2486"/>
    <w:rsid w:val="00BF01AB"/>
    <w:rsid w:val="00BF03FE"/>
    <w:rsid w:val="00BF2C45"/>
    <w:rsid w:val="00BF6CE8"/>
    <w:rsid w:val="00C134C5"/>
    <w:rsid w:val="00C56F3D"/>
    <w:rsid w:val="00C841AC"/>
    <w:rsid w:val="00C91FBB"/>
    <w:rsid w:val="00CA3042"/>
    <w:rsid w:val="00CA3D37"/>
    <w:rsid w:val="00CA4AA2"/>
    <w:rsid w:val="00CB0A5E"/>
    <w:rsid w:val="00CB21F9"/>
    <w:rsid w:val="00CD5F74"/>
    <w:rsid w:val="00CE0F98"/>
    <w:rsid w:val="00D03E53"/>
    <w:rsid w:val="00D23A7A"/>
    <w:rsid w:val="00D27CC4"/>
    <w:rsid w:val="00D354F7"/>
    <w:rsid w:val="00D627B1"/>
    <w:rsid w:val="00D62B82"/>
    <w:rsid w:val="00D709C9"/>
    <w:rsid w:val="00D81481"/>
    <w:rsid w:val="00D8633E"/>
    <w:rsid w:val="00D91AA8"/>
    <w:rsid w:val="00D936A5"/>
    <w:rsid w:val="00DA486C"/>
    <w:rsid w:val="00DA7DAE"/>
    <w:rsid w:val="00DB180D"/>
    <w:rsid w:val="00DD4529"/>
    <w:rsid w:val="00DF043A"/>
    <w:rsid w:val="00DF32E4"/>
    <w:rsid w:val="00DF608C"/>
    <w:rsid w:val="00E114E3"/>
    <w:rsid w:val="00E15CB6"/>
    <w:rsid w:val="00E2565F"/>
    <w:rsid w:val="00E32463"/>
    <w:rsid w:val="00E34069"/>
    <w:rsid w:val="00E55E60"/>
    <w:rsid w:val="00E579E7"/>
    <w:rsid w:val="00E57ADC"/>
    <w:rsid w:val="00E60F00"/>
    <w:rsid w:val="00E61EA2"/>
    <w:rsid w:val="00E661FF"/>
    <w:rsid w:val="00E82C57"/>
    <w:rsid w:val="00EA2F66"/>
    <w:rsid w:val="00ED5B4E"/>
    <w:rsid w:val="00EE462E"/>
    <w:rsid w:val="00EF0489"/>
    <w:rsid w:val="00EF29CA"/>
    <w:rsid w:val="00F0047A"/>
    <w:rsid w:val="00F131EE"/>
    <w:rsid w:val="00F164EC"/>
    <w:rsid w:val="00F167C7"/>
    <w:rsid w:val="00F24662"/>
    <w:rsid w:val="00F56AED"/>
    <w:rsid w:val="00F60560"/>
    <w:rsid w:val="00F7364A"/>
    <w:rsid w:val="00F74C8B"/>
    <w:rsid w:val="00F91988"/>
    <w:rsid w:val="00FA2D98"/>
    <w:rsid w:val="00FB1625"/>
    <w:rsid w:val="00FB1841"/>
    <w:rsid w:val="00FD449A"/>
    <w:rsid w:val="00FE05EF"/>
    <w:rsid w:val="00FF72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2B4AB"/>
  <w15:chartTrackingRefBased/>
  <w15:docId w15:val="{AFF67923-47A3-4D8E-B727-823F11DD2D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29CA"/>
  </w:style>
  <w:style w:type="paragraph" w:styleId="Heading1">
    <w:name w:val="heading 1"/>
    <w:basedOn w:val="Normal"/>
    <w:next w:val="Normal"/>
    <w:link w:val="Heading1Char"/>
    <w:uiPriority w:val="9"/>
    <w:qFormat/>
    <w:rsid w:val="00EF29C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F29C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F29C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F29C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F29C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F29C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29C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29C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29C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29CA"/>
    <w:rPr>
      <w:rFonts w:asciiTheme="majorHAnsi" w:eastAsiaTheme="majorEastAsia" w:hAnsiTheme="majorHAnsi" w:cstheme="majorBidi"/>
      <w:noProof/>
      <w:color w:val="0F4761" w:themeColor="accent1" w:themeShade="BF"/>
      <w:sz w:val="40"/>
      <w:szCs w:val="40"/>
    </w:rPr>
  </w:style>
  <w:style w:type="character" w:customStyle="1" w:styleId="Heading2Char">
    <w:name w:val="Heading 2 Char"/>
    <w:basedOn w:val="DefaultParagraphFont"/>
    <w:link w:val="Heading2"/>
    <w:uiPriority w:val="9"/>
    <w:semiHidden/>
    <w:rsid w:val="00EF29CA"/>
    <w:rPr>
      <w:rFonts w:asciiTheme="majorHAnsi" w:eastAsiaTheme="majorEastAsia" w:hAnsiTheme="majorHAnsi" w:cstheme="majorBidi"/>
      <w:noProof/>
      <w:color w:val="0F4761" w:themeColor="accent1" w:themeShade="BF"/>
      <w:sz w:val="32"/>
      <w:szCs w:val="32"/>
    </w:rPr>
  </w:style>
  <w:style w:type="character" w:customStyle="1" w:styleId="Heading3Char">
    <w:name w:val="Heading 3 Char"/>
    <w:basedOn w:val="DefaultParagraphFont"/>
    <w:link w:val="Heading3"/>
    <w:uiPriority w:val="9"/>
    <w:semiHidden/>
    <w:rsid w:val="00EF29CA"/>
    <w:rPr>
      <w:rFonts w:eastAsiaTheme="majorEastAsia" w:cstheme="majorBidi"/>
      <w:noProof/>
      <w:color w:val="0F4761" w:themeColor="accent1" w:themeShade="BF"/>
      <w:sz w:val="28"/>
      <w:szCs w:val="28"/>
    </w:rPr>
  </w:style>
  <w:style w:type="character" w:customStyle="1" w:styleId="Heading4Char">
    <w:name w:val="Heading 4 Char"/>
    <w:basedOn w:val="DefaultParagraphFont"/>
    <w:link w:val="Heading4"/>
    <w:uiPriority w:val="9"/>
    <w:semiHidden/>
    <w:rsid w:val="00EF29CA"/>
    <w:rPr>
      <w:rFonts w:eastAsiaTheme="majorEastAsia" w:cstheme="majorBidi"/>
      <w:i/>
      <w:iCs/>
      <w:noProof/>
      <w:color w:val="0F4761" w:themeColor="accent1" w:themeShade="BF"/>
    </w:rPr>
  </w:style>
  <w:style w:type="character" w:customStyle="1" w:styleId="Heading5Char">
    <w:name w:val="Heading 5 Char"/>
    <w:basedOn w:val="DefaultParagraphFont"/>
    <w:link w:val="Heading5"/>
    <w:uiPriority w:val="9"/>
    <w:semiHidden/>
    <w:rsid w:val="00EF29CA"/>
    <w:rPr>
      <w:rFonts w:eastAsiaTheme="majorEastAsia" w:cstheme="majorBidi"/>
      <w:noProof/>
      <w:color w:val="0F4761" w:themeColor="accent1" w:themeShade="BF"/>
    </w:rPr>
  </w:style>
  <w:style w:type="character" w:customStyle="1" w:styleId="Heading6Char">
    <w:name w:val="Heading 6 Char"/>
    <w:basedOn w:val="DefaultParagraphFont"/>
    <w:link w:val="Heading6"/>
    <w:uiPriority w:val="9"/>
    <w:semiHidden/>
    <w:rsid w:val="00EF29CA"/>
    <w:rPr>
      <w:rFonts w:eastAsiaTheme="majorEastAsia" w:cstheme="majorBidi"/>
      <w:i/>
      <w:iCs/>
      <w:noProof/>
      <w:color w:val="595959" w:themeColor="text1" w:themeTint="A6"/>
    </w:rPr>
  </w:style>
  <w:style w:type="character" w:customStyle="1" w:styleId="Heading7Char">
    <w:name w:val="Heading 7 Char"/>
    <w:basedOn w:val="DefaultParagraphFont"/>
    <w:link w:val="Heading7"/>
    <w:uiPriority w:val="9"/>
    <w:semiHidden/>
    <w:rsid w:val="00EF29CA"/>
    <w:rPr>
      <w:rFonts w:eastAsiaTheme="majorEastAsia" w:cstheme="majorBidi"/>
      <w:noProof/>
      <w:color w:val="595959" w:themeColor="text1" w:themeTint="A6"/>
    </w:rPr>
  </w:style>
  <w:style w:type="character" w:customStyle="1" w:styleId="Heading8Char">
    <w:name w:val="Heading 8 Char"/>
    <w:basedOn w:val="DefaultParagraphFont"/>
    <w:link w:val="Heading8"/>
    <w:uiPriority w:val="9"/>
    <w:semiHidden/>
    <w:rsid w:val="00EF29CA"/>
    <w:rPr>
      <w:rFonts w:eastAsiaTheme="majorEastAsia" w:cstheme="majorBidi"/>
      <w:i/>
      <w:iCs/>
      <w:noProof/>
      <w:color w:val="272727" w:themeColor="text1" w:themeTint="D8"/>
    </w:rPr>
  </w:style>
  <w:style w:type="character" w:customStyle="1" w:styleId="Heading9Char">
    <w:name w:val="Heading 9 Char"/>
    <w:basedOn w:val="DefaultParagraphFont"/>
    <w:link w:val="Heading9"/>
    <w:uiPriority w:val="9"/>
    <w:semiHidden/>
    <w:rsid w:val="00EF29CA"/>
    <w:rPr>
      <w:rFonts w:eastAsiaTheme="majorEastAsia" w:cstheme="majorBidi"/>
      <w:noProof/>
      <w:color w:val="272727" w:themeColor="text1" w:themeTint="D8"/>
    </w:rPr>
  </w:style>
  <w:style w:type="paragraph" w:styleId="Title">
    <w:name w:val="Title"/>
    <w:basedOn w:val="Normal"/>
    <w:next w:val="Normal"/>
    <w:link w:val="TitleChar"/>
    <w:uiPriority w:val="10"/>
    <w:qFormat/>
    <w:rsid w:val="00EF29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29CA"/>
    <w:rPr>
      <w:rFonts w:asciiTheme="majorHAnsi" w:eastAsiaTheme="majorEastAsia" w:hAnsiTheme="majorHAnsi" w:cstheme="majorBidi"/>
      <w:noProof/>
      <w:spacing w:val="-10"/>
      <w:kern w:val="28"/>
      <w:sz w:val="56"/>
      <w:szCs w:val="56"/>
    </w:rPr>
  </w:style>
  <w:style w:type="paragraph" w:styleId="Subtitle">
    <w:name w:val="Subtitle"/>
    <w:basedOn w:val="Normal"/>
    <w:next w:val="Normal"/>
    <w:link w:val="SubtitleChar"/>
    <w:uiPriority w:val="11"/>
    <w:qFormat/>
    <w:rsid w:val="00EF29C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29CA"/>
    <w:rPr>
      <w:rFonts w:eastAsiaTheme="majorEastAsia" w:cstheme="majorBidi"/>
      <w:noProof/>
      <w:color w:val="595959" w:themeColor="text1" w:themeTint="A6"/>
      <w:spacing w:val="15"/>
      <w:sz w:val="28"/>
      <w:szCs w:val="28"/>
    </w:rPr>
  </w:style>
  <w:style w:type="paragraph" w:styleId="Quote">
    <w:name w:val="Quote"/>
    <w:basedOn w:val="Normal"/>
    <w:next w:val="Normal"/>
    <w:link w:val="QuoteChar"/>
    <w:uiPriority w:val="29"/>
    <w:qFormat/>
    <w:rsid w:val="00EF29CA"/>
    <w:pPr>
      <w:spacing w:before="160"/>
      <w:jc w:val="center"/>
    </w:pPr>
    <w:rPr>
      <w:i/>
      <w:iCs/>
      <w:color w:val="404040" w:themeColor="text1" w:themeTint="BF"/>
    </w:rPr>
  </w:style>
  <w:style w:type="character" w:customStyle="1" w:styleId="QuoteChar">
    <w:name w:val="Quote Char"/>
    <w:basedOn w:val="DefaultParagraphFont"/>
    <w:link w:val="Quote"/>
    <w:uiPriority w:val="29"/>
    <w:rsid w:val="00EF29CA"/>
    <w:rPr>
      <w:i/>
      <w:iCs/>
      <w:noProof/>
      <w:color w:val="404040" w:themeColor="text1" w:themeTint="BF"/>
    </w:rPr>
  </w:style>
  <w:style w:type="paragraph" w:styleId="ListParagraph">
    <w:name w:val="List Paragraph"/>
    <w:basedOn w:val="Normal"/>
    <w:uiPriority w:val="34"/>
    <w:qFormat/>
    <w:rsid w:val="00EF29CA"/>
    <w:pPr>
      <w:ind w:left="720"/>
      <w:contextualSpacing/>
    </w:pPr>
  </w:style>
  <w:style w:type="character" w:styleId="IntenseEmphasis">
    <w:name w:val="Intense Emphasis"/>
    <w:basedOn w:val="DefaultParagraphFont"/>
    <w:uiPriority w:val="21"/>
    <w:qFormat/>
    <w:rsid w:val="00EF29CA"/>
    <w:rPr>
      <w:i/>
      <w:iCs/>
      <w:color w:val="0F4761" w:themeColor="accent1" w:themeShade="BF"/>
    </w:rPr>
  </w:style>
  <w:style w:type="paragraph" w:styleId="IntenseQuote">
    <w:name w:val="Intense Quote"/>
    <w:basedOn w:val="Normal"/>
    <w:next w:val="Normal"/>
    <w:link w:val="IntenseQuoteChar"/>
    <w:uiPriority w:val="30"/>
    <w:qFormat/>
    <w:rsid w:val="00EF29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F29CA"/>
    <w:rPr>
      <w:i/>
      <w:iCs/>
      <w:noProof/>
      <w:color w:val="0F4761" w:themeColor="accent1" w:themeShade="BF"/>
    </w:rPr>
  </w:style>
  <w:style w:type="character" w:styleId="IntenseReference">
    <w:name w:val="Intense Reference"/>
    <w:basedOn w:val="DefaultParagraphFont"/>
    <w:uiPriority w:val="32"/>
    <w:qFormat/>
    <w:rsid w:val="00EF29CA"/>
    <w:rPr>
      <w:b/>
      <w:bCs/>
      <w:smallCaps/>
      <w:color w:val="0F4761" w:themeColor="accent1" w:themeShade="BF"/>
      <w:spacing w:val="5"/>
    </w:rPr>
  </w:style>
  <w:style w:type="character" w:styleId="Hyperlink">
    <w:name w:val="Hyperlink"/>
    <w:basedOn w:val="DefaultParagraphFont"/>
    <w:uiPriority w:val="99"/>
    <w:unhideWhenUsed/>
    <w:rsid w:val="00EF29CA"/>
    <w:rPr>
      <w:color w:val="467886" w:themeColor="hyperlink"/>
      <w:u w:val="single"/>
    </w:rPr>
  </w:style>
  <w:style w:type="paragraph" w:styleId="FootnoteText">
    <w:name w:val="footnote text"/>
    <w:aliases w:val="ALTS FOOTNOTE,Footnote Text Char Char2 Char Char,Footnote Text Char1,Footnote Text Char1 Char Char,Footnote Text Char2 Char,Footnote Text Char2 Char1 Char Char Char Char,Footnote Text Char4 Char Char Char Char,f,fn,fn ,fn C,fn Char1"/>
    <w:basedOn w:val="Normal"/>
    <w:link w:val="FootnoteTextChar"/>
    <w:uiPriority w:val="99"/>
    <w:unhideWhenUsed/>
    <w:qFormat/>
    <w:rsid w:val="00EF29CA"/>
    <w:pPr>
      <w:spacing w:after="0" w:line="240" w:lineRule="auto"/>
    </w:pPr>
    <w:rPr>
      <w:sz w:val="20"/>
      <w:szCs w:val="20"/>
    </w:rPr>
  </w:style>
  <w:style w:type="character" w:customStyle="1" w:styleId="FootnoteTextChar">
    <w:name w:val="Footnote Text Char"/>
    <w:aliases w:val="ALTS FOOTNOTE Char,Footnote Text Char Char2 Char Char Char,Footnote Text Char1 Char,Footnote Text Char1 Char Char Char,Footnote Text Char2 Char Char,Footnote Text Char2 Char1 Char Char Char Char Char,f Char,fn Char,fn  Char,fn C Char"/>
    <w:basedOn w:val="DefaultParagraphFont"/>
    <w:link w:val="FootnoteText"/>
    <w:uiPriority w:val="99"/>
    <w:rsid w:val="00EF29CA"/>
    <w:rPr>
      <w:sz w:val="20"/>
      <w:szCs w:val="20"/>
    </w:rPr>
  </w:style>
  <w:style w:type="character" w:styleId="FootnoteReference">
    <w:name w:val="footnote reference"/>
    <w:aliases w:val="Footnote Reference 030908,Style 12,(NECG) Footnote Reference,Style 13,Appel note de bas de p,Style 124,fr,o,Style 3,FR,Style 17,Footnote Reference/,Style 9,Style 6,FOOTNOTE,o1,o2,o3,o4,o5,o6,o11,o21,o7,Style 7,Style 4,Style 34,A"/>
    <w:basedOn w:val="DefaultParagraphFont"/>
    <w:unhideWhenUsed/>
    <w:rsid w:val="00EF29CA"/>
    <w:rPr>
      <w:vertAlign w:val="superscript"/>
    </w:rPr>
  </w:style>
  <w:style w:type="paragraph" w:styleId="PlainText">
    <w:name w:val="Plain Text"/>
    <w:basedOn w:val="Normal"/>
    <w:link w:val="PlainTextChar"/>
    <w:uiPriority w:val="99"/>
    <w:unhideWhenUsed/>
    <w:rsid w:val="00EF29CA"/>
    <w:pPr>
      <w:spacing w:after="0" w:line="240" w:lineRule="auto"/>
    </w:pPr>
    <w:rPr>
      <w:rFonts w:ascii="Calibri" w:hAnsi="Calibri"/>
      <w:szCs w:val="21"/>
    </w:rPr>
  </w:style>
  <w:style w:type="character" w:customStyle="1" w:styleId="PlainTextChar">
    <w:name w:val="Plain Text Char"/>
    <w:basedOn w:val="DefaultParagraphFont"/>
    <w:link w:val="PlainText"/>
    <w:uiPriority w:val="99"/>
    <w:rsid w:val="00EF29CA"/>
    <w:rPr>
      <w:rFonts w:ascii="Calibri" w:hAnsi="Calibri"/>
      <w:szCs w:val="21"/>
    </w:rPr>
  </w:style>
  <w:style w:type="paragraph" w:styleId="Footer">
    <w:name w:val="footer"/>
    <w:basedOn w:val="Normal"/>
    <w:link w:val="FooterChar"/>
    <w:uiPriority w:val="99"/>
    <w:unhideWhenUsed/>
    <w:rsid w:val="00EF29CA"/>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29CA"/>
  </w:style>
  <w:style w:type="character" w:styleId="CommentReference">
    <w:name w:val="annotation reference"/>
    <w:basedOn w:val="DefaultParagraphFont"/>
    <w:uiPriority w:val="99"/>
    <w:semiHidden/>
    <w:unhideWhenUsed/>
    <w:rsid w:val="00EF29CA"/>
    <w:rPr>
      <w:sz w:val="16"/>
      <w:szCs w:val="16"/>
    </w:rPr>
  </w:style>
  <w:style w:type="paragraph" w:styleId="CommentText">
    <w:name w:val="annotation text"/>
    <w:basedOn w:val="Normal"/>
    <w:link w:val="CommentTextChar"/>
    <w:uiPriority w:val="99"/>
    <w:unhideWhenUsed/>
    <w:rsid w:val="00EF29CA"/>
    <w:pPr>
      <w:spacing w:line="240" w:lineRule="auto"/>
    </w:pPr>
    <w:rPr>
      <w:sz w:val="20"/>
      <w:szCs w:val="20"/>
    </w:rPr>
  </w:style>
  <w:style w:type="character" w:customStyle="1" w:styleId="CommentTextChar">
    <w:name w:val="Comment Text Char"/>
    <w:basedOn w:val="DefaultParagraphFont"/>
    <w:link w:val="CommentText"/>
    <w:uiPriority w:val="99"/>
    <w:rsid w:val="00EF29CA"/>
    <w:rPr>
      <w:sz w:val="20"/>
      <w:szCs w:val="20"/>
    </w:rPr>
  </w:style>
  <w:style w:type="character" w:styleId="UnresolvedMention">
    <w:name w:val="Unresolved Mention"/>
    <w:basedOn w:val="DefaultParagraphFont"/>
    <w:uiPriority w:val="99"/>
    <w:semiHidden/>
    <w:unhideWhenUsed/>
    <w:rsid w:val="002E2ABF"/>
    <w:rPr>
      <w:color w:val="605E5C"/>
      <w:shd w:val="clear" w:color="auto" w:fill="E1DFDD"/>
    </w:rPr>
  </w:style>
  <w:style w:type="paragraph" w:styleId="NormalWeb">
    <w:name w:val="Normal (Web)"/>
    <w:basedOn w:val="Normal"/>
    <w:uiPriority w:val="99"/>
    <w:unhideWhenUsed/>
    <w:rsid w:val="003917D4"/>
    <w:pPr>
      <w:spacing w:before="195" w:after="195" w:line="240" w:lineRule="auto"/>
    </w:pPr>
    <w:rPr>
      <w:rFonts w:ascii="Aptos" w:hAnsi="Aptos" w:cs="Aptos"/>
      <w:sz w:val="24"/>
      <w:szCs w:val="24"/>
    </w:rPr>
  </w:style>
  <w:style w:type="paragraph" w:styleId="EndnoteText">
    <w:name w:val="endnote text"/>
    <w:basedOn w:val="Normal"/>
    <w:link w:val="EndnoteTextChar"/>
    <w:uiPriority w:val="99"/>
    <w:semiHidden/>
    <w:unhideWhenUsed/>
    <w:rsid w:val="006D17B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D17B4"/>
    <w:rPr>
      <w:sz w:val="20"/>
      <w:szCs w:val="20"/>
    </w:rPr>
  </w:style>
  <w:style w:type="character" w:styleId="EndnoteReference">
    <w:name w:val="endnote reference"/>
    <w:basedOn w:val="DefaultParagraphFont"/>
    <w:uiPriority w:val="99"/>
    <w:semiHidden/>
    <w:unhideWhenUsed/>
    <w:rsid w:val="006D17B4"/>
    <w:rPr>
      <w:vertAlign w:val="superscript"/>
    </w:rPr>
  </w:style>
  <w:style w:type="character" w:customStyle="1" w:styleId="field">
    <w:name w:val="field"/>
    <w:basedOn w:val="DefaultParagraphFont"/>
    <w:rsid w:val="006423A5"/>
  </w:style>
  <w:style w:type="paragraph" w:styleId="Revision">
    <w:name w:val="Revision"/>
    <w:hidden/>
    <w:uiPriority w:val="99"/>
    <w:semiHidden/>
    <w:rsid w:val="00224FC2"/>
    <w:pPr>
      <w:spacing w:after="0" w:line="240" w:lineRule="auto"/>
    </w:pPr>
  </w:style>
  <w:style w:type="paragraph" w:styleId="CommentSubject">
    <w:name w:val="annotation subject"/>
    <w:basedOn w:val="CommentText"/>
    <w:next w:val="CommentText"/>
    <w:link w:val="CommentSubjectChar"/>
    <w:uiPriority w:val="99"/>
    <w:semiHidden/>
    <w:unhideWhenUsed/>
    <w:rsid w:val="00224FC2"/>
    <w:rPr>
      <w:b/>
      <w:bCs/>
    </w:rPr>
  </w:style>
  <w:style w:type="character" w:customStyle="1" w:styleId="CommentSubjectChar">
    <w:name w:val="Comment Subject Char"/>
    <w:basedOn w:val="CommentTextChar"/>
    <w:link w:val="CommentSubject"/>
    <w:uiPriority w:val="99"/>
    <w:semiHidden/>
    <w:rsid w:val="00224FC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7098821">
      <w:bodyDiv w:val="1"/>
      <w:marLeft w:val="0"/>
      <w:marRight w:val="0"/>
      <w:marTop w:val="0"/>
      <w:marBottom w:val="0"/>
      <w:divBdr>
        <w:top w:val="none" w:sz="0" w:space="0" w:color="auto"/>
        <w:left w:val="none" w:sz="0" w:space="0" w:color="auto"/>
        <w:bottom w:val="none" w:sz="0" w:space="0" w:color="auto"/>
        <w:right w:val="none" w:sz="0" w:space="0" w:color="auto"/>
      </w:divBdr>
    </w:div>
    <w:div w:id="1191332322">
      <w:bodyDiv w:val="1"/>
      <w:marLeft w:val="0"/>
      <w:marRight w:val="0"/>
      <w:marTop w:val="0"/>
      <w:marBottom w:val="0"/>
      <w:divBdr>
        <w:top w:val="none" w:sz="0" w:space="0" w:color="auto"/>
        <w:left w:val="none" w:sz="0" w:space="0" w:color="auto"/>
        <w:bottom w:val="none" w:sz="0" w:space="0" w:color="auto"/>
        <w:right w:val="none" w:sz="0" w:space="0" w:color="auto"/>
      </w:divBdr>
      <w:divsChild>
        <w:div w:id="1520970416">
          <w:marLeft w:val="0"/>
          <w:marRight w:val="0"/>
          <w:marTop w:val="0"/>
          <w:marBottom w:val="0"/>
          <w:divBdr>
            <w:top w:val="none" w:sz="0" w:space="0" w:color="212121"/>
            <w:left w:val="none" w:sz="0" w:space="0" w:color="212121"/>
            <w:bottom w:val="none" w:sz="0" w:space="0" w:color="212121"/>
            <w:right w:val="none" w:sz="0" w:space="0" w:color="212121"/>
          </w:divBdr>
          <w:divsChild>
            <w:div w:id="1120420567">
              <w:marLeft w:val="0"/>
              <w:marRight w:val="0"/>
              <w:marTop w:val="0"/>
              <w:marBottom w:val="0"/>
              <w:divBdr>
                <w:top w:val="none" w:sz="0" w:space="0" w:color="212121"/>
                <w:left w:val="none" w:sz="0" w:space="0" w:color="212121"/>
                <w:bottom w:val="none" w:sz="0" w:space="0" w:color="212121"/>
                <w:right w:val="none" w:sz="0" w:space="0" w:color="212121"/>
              </w:divBdr>
            </w:div>
          </w:divsChild>
        </w:div>
      </w:divsChild>
    </w:div>
    <w:div w:id="1315912740">
      <w:bodyDiv w:val="1"/>
      <w:marLeft w:val="0"/>
      <w:marRight w:val="0"/>
      <w:marTop w:val="0"/>
      <w:marBottom w:val="0"/>
      <w:divBdr>
        <w:top w:val="none" w:sz="0" w:space="0" w:color="auto"/>
        <w:left w:val="none" w:sz="0" w:space="0" w:color="auto"/>
        <w:bottom w:val="none" w:sz="0" w:space="0" w:color="auto"/>
        <w:right w:val="none" w:sz="0" w:space="0" w:color="auto"/>
      </w:divBdr>
      <w:divsChild>
        <w:div w:id="785003945">
          <w:marLeft w:val="0"/>
          <w:marRight w:val="0"/>
          <w:marTop w:val="0"/>
          <w:marBottom w:val="0"/>
          <w:divBdr>
            <w:top w:val="none" w:sz="0" w:space="0" w:color="auto"/>
            <w:left w:val="none" w:sz="0" w:space="0" w:color="auto"/>
            <w:bottom w:val="none" w:sz="0" w:space="0" w:color="auto"/>
            <w:right w:val="none" w:sz="0" w:space="0" w:color="auto"/>
          </w:divBdr>
        </w:div>
        <w:div w:id="827868399">
          <w:marLeft w:val="0"/>
          <w:marRight w:val="0"/>
          <w:marTop w:val="0"/>
          <w:marBottom w:val="0"/>
          <w:divBdr>
            <w:top w:val="none" w:sz="0" w:space="0" w:color="auto"/>
            <w:left w:val="none" w:sz="0" w:space="0" w:color="auto"/>
            <w:bottom w:val="none" w:sz="0" w:space="0" w:color="auto"/>
            <w:right w:val="none" w:sz="0" w:space="0" w:color="auto"/>
          </w:divBdr>
        </w:div>
        <w:div w:id="298848368">
          <w:marLeft w:val="0"/>
          <w:marRight w:val="0"/>
          <w:marTop w:val="0"/>
          <w:marBottom w:val="0"/>
          <w:divBdr>
            <w:top w:val="none" w:sz="0" w:space="0" w:color="auto"/>
            <w:left w:val="none" w:sz="0" w:space="0" w:color="auto"/>
            <w:bottom w:val="none" w:sz="0" w:space="0" w:color="auto"/>
            <w:right w:val="none" w:sz="0" w:space="0" w:color="auto"/>
          </w:divBdr>
        </w:div>
        <w:div w:id="561796592">
          <w:marLeft w:val="0"/>
          <w:marRight w:val="0"/>
          <w:marTop w:val="0"/>
          <w:marBottom w:val="0"/>
          <w:divBdr>
            <w:top w:val="none" w:sz="0" w:space="0" w:color="auto"/>
            <w:left w:val="none" w:sz="0" w:space="0" w:color="auto"/>
            <w:bottom w:val="none" w:sz="0" w:space="0" w:color="auto"/>
            <w:right w:val="none" w:sz="0" w:space="0" w:color="auto"/>
          </w:divBdr>
        </w:div>
        <w:div w:id="1757361268">
          <w:marLeft w:val="0"/>
          <w:marRight w:val="0"/>
          <w:marTop w:val="0"/>
          <w:marBottom w:val="0"/>
          <w:divBdr>
            <w:top w:val="none" w:sz="0" w:space="0" w:color="auto"/>
            <w:left w:val="none" w:sz="0" w:space="0" w:color="auto"/>
            <w:bottom w:val="none" w:sz="0" w:space="0" w:color="auto"/>
            <w:right w:val="none" w:sz="0" w:space="0" w:color="auto"/>
          </w:divBdr>
        </w:div>
      </w:divsChild>
    </w:div>
    <w:div w:id="1746489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 TargetMode="External"/><Relationship Id="rId3" Type="http://schemas.openxmlformats.org/officeDocument/2006/relationships/settings" Target="settings.xml"/><Relationship Id="rId7" Type="http://schemas.openxmlformats.org/officeDocument/2006/relationships/hyperlink" Target="https://docs.fcc.gov/public/attachments/DA-25-218A1.docx"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www.nerc.com/pa/RAPA/ra/Reliability%20Assessments%20DL/NERC_Long%20Term%20Reliability%20Assessment_2024.pdf" TargetMode="External"/><Relationship Id="rId3" Type="http://schemas.openxmlformats.org/officeDocument/2006/relationships/hyperlink" Target="https://pubs.naruc.org/pub/A37E3860-ECFF-DBA3-13A7-BA3B120910C2" TargetMode="External"/><Relationship Id="rId7" Type="http://schemas.openxmlformats.org/officeDocument/2006/relationships/hyperlink" Target="https://www.nerc.com/pa/RAPA/ra/Reliability%20Assessments%20DL/NERC_Long%20Term%20Reliability%20Assessment_2024.pdf" TargetMode="External"/><Relationship Id="rId12" Type="http://schemas.openxmlformats.org/officeDocument/2006/relationships/hyperlink" Target="https://www.gridbrief.com/p/christie-ferc-transmission-framework-whack-ercot-eyes-demand-response" TargetMode="External"/><Relationship Id="rId2" Type="http://schemas.openxmlformats.org/officeDocument/2006/relationships/hyperlink" Target="https://www.fcc.gov/ecfs/document/10307392011716/1" TargetMode="External"/><Relationship Id="rId1" Type="http://schemas.openxmlformats.org/officeDocument/2006/relationships/hyperlink" Target="https://docs.fcc.gov/public/attachments/DA-25-218A1.docx" TargetMode="External"/><Relationship Id="rId6" Type="http://schemas.openxmlformats.org/officeDocument/2006/relationships/hyperlink" Target="https://www.utilitydive.com/news/explosive-demand-growth-blackouts-NERC-LTRA-reliability/735866/" TargetMode="External"/><Relationship Id="rId11" Type="http://schemas.openxmlformats.org/officeDocument/2006/relationships/hyperlink" Target="https://www.eia.gov/electricity/data/eia861/" TargetMode="External"/><Relationship Id="rId5" Type="http://schemas.openxmlformats.org/officeDocument/2006/relationships/hyperlink" Target="https://www.fcc.gov/ecfs/document/60001060534/1" TargetMode="External"/><Relationship Id="rId10" Type="http://schemas.openxmlformats.org/officeDocument/2006/relationships/hyperlink" Target="https://www.eia.gov/todayinenergy/detail.php?id=38872" TargetMode="External"/><Relationship Id="rId4" Type="http://schemas.openxmlformats.org/officeDocument/2006/relationships/hyperlink" Target="https://natlawreview.com/article/what-tcpa-heres-quick-background-americas-anti-robocall-statute-every-call-center" TargetMode="External"/><Relationship Id="rId9" Type="http://schemas.openxmlformats.org/officeDocument/2006/relationships/hyperlink" Target="https://www.nerc.com/pa/RAPA/ra/Reliability%20Assessments%20DL/NERC_LTRA_202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381938-8E02-4B52-A973-FDD798EA6D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1372</Words>
  <Characters>7826</Characters>
  <Application>Microsoft Office Word</Application>
  <DocSecurity>4</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Brad Ramsay</dc:creator>
  <cp:keywords/>
  <dc:description/>
  <cp:lastModifiedBy>Brad Ramsay</cp:lastModifiedBy>
  <cp:revision>2</cp:revision>
  <dcterms:created xsi:type="dcterms:W3CDTF">2025-04-10T21:13:00Z</dcterms:created>
  <dcterms:modified xsi:type="dcterms:W3CDTF">2025-04-10T21:13:00Z</dcterms:modified>
</cp:coreProperties>
</file>